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7B74" w14:textId="77777777" w:rsidR="00DF2092" w:rsidRDefault="00A711A2" w:rsidP="000A2BFF">
      <w:pPr>
        <w:numPr>
          <w:ilvl w:val="0"/>
          <w:numId w:val="5"/>
        </w:numPr>
        <w:tabs>
          <w:tab w:val="left" w:pos="360"/>
        </w:tabs>
        <w:rPr>
          <w:b/>
          <w:sz w:val="20"/>
        </w:rPr>
      </w:pPr>
      <w:r w:rsidRPr="00A711A2">
        <w:rPr>
          <w:b/>
          <w:sz w:val="20"/>
        </w:rPr>
        <w:t>PURPOSE</w:t>
      </w:r>
    </w:p>
    <w:p w14:paraId="0E21BDA7" w14:textId="77777777" w:rsidR="000A2BFF" w:rsidRDefault="000A2BFF" w:rsidP="000A2BFF">
      <w:pPr>
        <w:tabs>
          <w:tab w:val="left" w:pos="360"/>
        </w:tabs>
        <w:ind w:left="-90"/>
      </w:pPr>
    </w:p>
    <w:p w14:paraId="3F755F19" w14:textId="77777777" w:rsidR="000A2BFF" w:rsidRPr="000A2BFF" w:rsidRDefault="000A2BFF" w:rsidP="000A2BFF">
      <w:pPr>
        <w:tabs>
          <w:tab w:val="left" w:pos="360"/>
        </w:tabs>
        <w:ind w:left="-90"/>
        <w:rPr>
          <w:b/>
          <w:sz w:val="20"/>
        </w:rPr>
      </w:pPr>
      <w:r>
        <w:t xml:space="preserve">The following policy and procedure </w:t>
      </w:r>
      <w:proofErr w:type="gramStart"/>
      <w:r>
        <w:t>is</w:t>
      </w:r>
      <w:proofErr w:type="gramEnd"/>
      <w:r>
        <w:t xml:space="preserve"> to be followed for billing and collecting of patient accounts. The purpose of the procedure is to establish a system whereby we will have constant knowledge of each account. It will provide a step by step procedure that will maintain constant contact with the responsible party for discharge through complete payment of the account, write-off, or charge-off.</w:t>
      </w:r>
    </w:p>
    <w:p w14:paraId="14CE1B1A" w14:textId="77777777" w:rsidR="00DF2092" w:rsidRPr="00A711A2" w:rsidRDefault="00DF2092" w:rsidP="00DF2092">
      <w:pPr>
        <w:tabs>
          <w:tab w:val="left" w:pos="360"/>
        </w:tabs>
        <w:rPr>
          <w:b/>
          <w:sz w:val="20"/>
        </w:rPr>
      </w:pPr>
    </w:p>
    <w:p w14:paraId="41F25FD4" w14:textId="77777777" w:rsidR="00276B77" w:rsidRDefault="00276B77" w:rsidP="00A711A2">
      <w:pPr>
        <w:tabs>
          <w:tab w:val="left" w:pos="720"/>
        </w:tabs>
        <w:ind w:left="360"/>
        <w:rPr>
          <w:sz w:val="20"/>
        </w:rPr>
      </w:pPr>
    </w:p>
    <w:p w14:paraId="0A532861" w14:textId="77777777" w:rsidR="00A711A2" w:rsidRDefault="00A711A2" w:rsidP="00DF2092">
      <w:pPr>
        <w:numPr>
          <w:ilvl w:val="0"/>
          <w:numId w:val="5"/>
        </w:numPr>
        <w:tabs>
          <w:tab w:val="left" w:pos="360"/>
        </w:tabs>
        <w:rPr>
          <w:b/>
          <w:sz w:val="20"/>
        </w:rPr>
      </w:pPr>
      <w:r w:rsidRPr="00A711A2">
        <w:rPr>
          <w:b/>
          <w:sz w:val="20"/>
        </w:rPr>
        <w:t>PROCEDURE</w:t>
      </w:r>
    </w:p>
    <w:p w14:paraId="3340B4FB" w14:textId="77777777" w:rsidR="00DF2092" w:rsidRDefault="00DF2092" w:rsidP="00DF2092">
      <w:pPr>
        <w:tabs>
          <w:tab w:val="left" w:pos="360"/>
        </w:tabs>
        <w:rPr>
          <w:b/>
          <w:sz w:val="20"/>
        </w:rPr>
      </w:pPr>
    </w:p>
    <w:p w14:paraId="546BCD4F" w14:textId="77777777" w:rsidR="000A2BFF" w:rsidRDefault="000A2BFF" w:rsidP="00DF2092">
      <w:pPr>
        <w:tabs>
          <w:tab w:val="left" w:pos="360"/>
        </w:tabs>
      </w:pPr>
      <w:r>
        <w:t xml:space="preserve">A. Billing </w:t>
      </w:r>
    </w:p>
    <w:p w14:paraId="46B03E85" w14:textId="77777777" w:rsidR="000A2BFF" w:rsidRDefault="000A2BFF" w:rsidP="00DF2092">
      <w:pPr>
        <w:tabs>
          <w:tab w:val="left" w:pos="360"/>
        </w:tabs>
      </w:pPr>
      <w:r>
        <w:tab/>
      </w:r>
    </w:p>
    <w:p w14:paraId="725B4097" w14:textId="0B511336" w:rsidR="000A2BFF" w:rsidRDefault="000A2BFF" w:rsidP="00AE4138">
      <w:pPr>
        <w:tabs>
          <w:tab w:val="left" w:pos="360"/>
        </w:tabs>
        <w:ind w:left="360"/>
      </w:pPr>
      <w:r>
        <w:t xml:space="preserve">1. In order to maintain familiarity and understanding of the patient's account, each Business </w:t>
      </w:r>
      <w:r w:rsidR="00F71941">
        <w:t>Office Representative</w:t>
      </w:r>
      <w:r>
        <w:t xml:space="preserve"> is assigned a financial class. The Business </w:t>
      </w:r>
      <w:r w:rsidR="00F71941">
        <w:t>Office Representativ</w:t>
      </w:r>
      <w:r>
        <w:t xml:space="preserve">e follows the account </w:t>
      </w:r>
      <w:r w:rsidR="00F71941">
        <w:t>after the initial bill has gone out</w:t>
      </w:r>
      <w:r>
        <w:t xml:space="preserve"> through the final settlement</w:t>
      </w:r>
      <w:r w:rsidR="00F71941">
        <w:t xml:space="preserve"> from the third-party payor</w:t>
      </w:r>
      <w:r>
        <w:t xml:space="preserve"> of the account. </w:t>
      </w:r>
    </w:p>
    <w:p w14:paraId="31C9DD9D" w14:textId="77777777" w:rsidR="000A2BFF" w:rsidRDefault="000A2BFF" w:rsidP="00DF2092">
      <w:pPr>
        <w:tabs>
          <w:tab w:val="left" w:pos="360"/>
        </w:tabs>
      </w:pPr>
    </w:p>
    <w:p w14:paraId="28479426" w14:textId="77777777" w:rsidR="000A2BFF" w:rsidRDefault="00AE4138" w:rsidP="00DF2092">
      <w:pPr>
        <w:tabs>
          <w:tab w:val="left" w:pos="360"/>
        </w:tabs>
      </w:pPr>
      <w:r>
        <w:tab/>
      </w:r>
      <w:r w:rsidR="000A2BFF">
        <w:t>2. Itemized Bills: Sent to insurance, worker's compensation, and private pay patients, upon request.</w:t>
      </w:r>
    </w:p>
    <w:p w14:paraId="5D0B2D8D" w14:textId="77777777" w:rsidR="00AE4138" w:rsidRDefault="00AE4138" w:rsidP="00AE4138">
      <w:pPr>
        <w:tabs>
          <w:tab w:val="left" w:pos="360"/>
        </w:tabs>
        <w:ind w:left="720"/>
      </w:pPr>
    </w:p>
    <w:p w14:paraId="3122CAE9" w14:textId="606F64CE" w:rsidR="00F71941" w:rsidRDefault="000A2BFF" w:rsidP="00F71941">
      <w:pPr>
        <w:pStyle w:val="ListParagraph"/>
        <w:numPr>
          <w:ilvl w:val="0"/>
          <w:numId w:val="9"/>
        </w:numPr>
        <w:tabs>
          <w:tab w:val="left" w:pos="360"/>
        </w:tabs>
      </w:pPr>
      <w:r>
        <w:t xml:space="preserve">If the patient has insurance coverage, the designated Business </w:t>
      </w:r>
      <w:r w:rsidR="00F71941">
        <w:t xml:space="preserve">Office Representative </w:t>
      </w:r>
      <w:r>
        <w:t xml:space="preserve">will </w:t>
      </w:r>
      <w:r w:rsidR="00F71941">
        <w:t>follow up on</w:t>
      </w:r>
      <w:r>
        <w:t xml:space="preserve"> each claim to the patient's insurance company</w:t>
      </w:r>
      <w:r w:rsidR="00F71941">
        <w:t xml:space="preserve"> to insure timeliness of payment.</w:t>
      </w:r>
    </w:p>
    <w:p w14:paraId="2C7B2913" w14:textId="77777777" w:rsidR="00F71941" w:rsidRDefault="00F71941" w:rsidP="00F71941">
      <w:pPr>
        <w:pStyle w:val="ListParagraph"/>
        <w:tabs>
          <w:tab w:val="left" w:pos="360"/>
        </w:tabs>
        <w:ind w:left="1140"/>
      </w:pPr>
    </w:p>
    <w:p w14:paraId="094C62F4" w14:textId="58070223" w:rsidR="00F71941" w:rsidRDefault="00F71941" w:rsidP="00F71941">
      <w:pPr>
        <w:pStyle w:val="ListParagraph"/>
        <w:numPr>
          <w:ilvl w:val="0"/>
          <w:numId w:val="9"/>
        </w:numPr>
        <w:tabs>
          <w:tab w:val="left" w:pos="360"/>
        </w:tabs>
      </w:pPr>
      <w:r>
        <w:t xml:space="preserve">Each Business Office Representative is only allowed to write off 30% or less contractually based on the insurance RA unless this amount exceeds $2,500.  If the contractual amount is greater than 30% or $2,500 the Business Office Representative needs to notify the CFO of the write off. </w:t>
      </w:r>
    </w:p>
    <w:p w14:paraId="2B762809" w14:textId="1A45F81E" w:rsidR="00F71941" w:rsidRDefault="00F71941" w:rsidP="00F71941">
      <w:pPr>
        <w:pStyle w:val="ListParagraph"/>
        <w:tabs>
          <w:tab w:val="left" w:pos="360"/>
        </w:tabs>
        <w:ind w:left="1140"/>
      </w:pPr>
      <w:r>
        <w:t xml:space="preserve"> </w:t>
      </w:r>
    </w:p>
    <w:p w14:paraId="14E4ADC8" w14:textId="5110E499" w:rsidR="00F71941" w:rsidRDefault="00F71941" w:rsidP="00F71941">
      <w:pPr>
        <w:pStyle w:val="ListParagraph"/>
        <w:numPr>
          <w:ilvl w:val="0"/>
          <w:numId w:val="9"/>
        </w:numPr>
        <w:tabs>
          <w:tab w:val="left" w:pos="360"/>
        </w:tabs>
      </w:pPr>
      <w:r>
        <w:t xml:space="preserve">If the patient is classified Private Pay, a first-time summary bill will be mailed to the patient or their guarantor within 10-14 days after discharge of an outpatient/emergency room visit. The first-time bill states their responsibility. An itemized bill is sent upon request. </w:t>
      </w:r>
    </w:p>
    <w:p w14:paraId="01FB2591" w14:textId="1CD66E05" w:rsidR="000A2BFF" w:rsidRDefault="000A2BFF" w:rsidP="00F71941">
      <w:pPr>
        <w:tabs>
          <w:tab w:val="left" w:pos="360"/>
        </w:tabs>
        <w:ind w:left="780"/>
      </w:pPr>
    </w:p>
    <w:p w14:paraId="1ADCEE84" w14:textId="77777777" w:rsidR="000A2BFF" w:rsidRDefault="000A2BFF" w:rsidP="00DF2092">
      <w:pPr>
        <w:tabs>
          <w:tab w:val="left" w:pos="360"/>
        </w:tabs>
      </w:pPr>
    </w:p>
    <w:p w14:paraId="28B6F255" w14:textId="499FA46A" w:rsidR="000A2BFF" w:rsidRDefault="000A2BFF" w:rsidP="00AE4138">
      <w:pPr>
        <w:tabs>
          <w:tab w:val="left" w:pos="360"/>
        </w:tabs>
        <w:ind w:left="360"/>
      </w:pPr>
      <w:r>
        <w:t>3. Monthly Statement: Sent on a cycle basis. This procedure is repeated approximately every t</w:t>
      </w:r>
      <w:r w:rsidR="00F71941">
        <w:t>wenty-eight</w:t>
      </w:r>
      <w:r>
        <w:t xml:space="preserve"> (</w:t>
      </w:r>
      <w:r w:rsidR="00F71941">
        <w:t>28</w:t>
      </w:r>
      <w:r>
        <w:t xml:space="preserve">) days until the account is paid, considered uncollectible, or written off. </w:t>
      </w:r>
    </w:p>
    <w:p w14:paraId="0D7B7016" w14:textId="77777777" w:rsidR="00D25E8C" w:rsidRDefault="000A2BFF" w:rsidP="00DF2092">
      <w:pPr>
        <w:tabs>
          <w:tab w:val="left" w:pos="360"/>
        </w:tabs>
      </w:pPr>
      <w:r>
        <w:tab/>
      </w:r>
    </w:p>
    <w:p w14:paraId="5387C13A" w14:textId="77777777" w:rsidR="000A2BFF" w:rsidRDefault="000A2BFF" w:rsidP="00DF2092">
      <w:pPr>
        <w:tabs>
          <w:tab w:val="left" w:pos="360"/>
        </w:tabs>
      </w:pPr>
      <w:r>
        <w:t xml:space="preserve">B. Collection </w:t>
      </w:r>
    </w:p>
    <w:p w14:paraId="1A0CA19E" w14:textId="77777777" w:rsidR="00937246" w:rsidRDefault="000A2BFF" w:rsidP="00DF2092">
      <w:pPr>
        <w:tabs>
          <w:tab w:val="left" w:pos="360"/>
        </w:tabs>
      </w:pPr>
      <w:r>
        <w:tab/>
      </w:r>
      <w:r>
        <w:tab/>
      </w:r>
    </w:p>
    <w:p w14:paraId="71A0F22D" w14:textId="77777777" w:rsidR="00AE4138" w:rsidRDefault="000A2BFF" w:rsidP="00AE4138">
      <w:pPr>
        <w:pStyle w:val="ListParagraph"/>
        <w:numPr>
          <w:ilvl w:val="0"/>
          <w:numId w:val="8"/>
        </w:numPr>
        <w:tabs>
          <w:tab w:val="left" w:pos="360"/>
        </w:tabs>
      </w:pPr>
      <w:r>
        <w:t>Prior to Discharge: Every admission to the hospital must have the respon</w:t>
      </w:r>
      <w:r w:rsidR="00AE4138">
        <w:t xml:space="preserve">sible party sign a </w:t>
      </w:r>
      <w:r w:rsidR="00616DAA">
        <w:t>“</w:t>
      </w:r>
      <w:r w:rsidR="00AE4138">
        <w:t xml:space="preserve">Statement of </w:t>
      </w:r>
    </w:p>
    <w:p w14:paraId="4677A900" w14:textId="77777777" w:rsidR="000A2BFF" w:rsidRDefault="000A2BFF" w:rsidP="00AE4138">
      <w:pPr>
        <w:tabs>
          <w:tab w:val="left" w:pos="360"/>
        </w:tabs>
        <w:ind w:left="360"/>
      </w:pPr>
      <w:r>
        <w:t>Financial Responsibility</w:t>
      </w:r>
      <w:r w:rsidR="00616DAA">
        <w:t>”</w:t>
      </w:r>
      <w:r>
        <w:t xml:space="preserve">. </w:t>
      </w:r>
    </w:p>
    <w:p w14:paraId="779B3A31" w14:textId="77777777" w:rsidR="00AE4138" w:rsidRDefault="00AE4138" w:rsidP="00AE4138">
      <w:pPr>
        <w:pStyle w:val="ListParagraph"/>
        <w:tabs>
          <w:tab w:val="left" w:pos="360"/>
        </w:tabs>
      </w:pPr>
    </w:p>
    <w:p w14:paraId="191457CC" w14:textId="77777777" w:rsidR="000A2BFF" w:rsidRDefault="000A2BFF" w:rsidP="00AE4138">
      <w:pPr>
        <w:tabs>
          <w:tab w:val="left" w:pos="360"/>
        </w:tabs>
        <w:ind w:left="360"/>
      </w:pPr>
      <w:r>
        <w:lastRenderedPageBreak/>
        <w:t>2. Upon Inpatien</w:t>
      </w:r>
      <w:r w:rsidR="00616DAA">
        <w:t>t or Discharge of Outpatient: With</w:t>
      </w:r>
      <w:r>
        <w:t xml:space="preserve"> outpatien</w:t>
      </w:r>
      <w:r w:rsidR="00A15E80">
        <w:t>t charges, attempt to collect copays</w:t>
      </w:r>
      <w:r w:rsidR="00AE4138">
        <w:t xml:space="preserve">, </w:t>
      </w:r>
      <w:r w:rsidR="00A15E80">
        <w:t>deductibles</w:t>
      </w:r>
      <w:r>
        <w:t xml:space="preserve">, </w:t>
      </w:r>
      <w:r w:rsidR="00A15E80">
        <w:t xml:space="preserve">coinsurances. </w:t>
      </w:r>
      <w:r>
        <w:t xml:space="preserve"> It is better to over-collect and refund than to be left with an uncollectible account. </w:t>
      </w:r>
    </w:p>
    <w:p w14:paraId="3C78F976" w14:textId="77777777" w:rsidR="000A2BFF" w:rsidRDefault="000A2BFF" w:rsidP="00DF2092">
      <w:pPr>
        <w:tabs>
          <w:tab w:val="left" w:pos="360"/>
        </w:tabs>
      </w:pPr>
      <w:r>
        <w:tab/>
      </w:r>
    </w:p>
    <w:p w14:paraId="0807013B" w14:textId="7306AF5D" w:rsidR="00937246" w:rsidRDefault="000A2BFF" w:rsidP="002B01E2">
      <w:pPr>
        <w:tabs>
          <w:tab w:val="left" w:pos="360"/>
        </w:tabs>
        <w:ind w:left="360"/>
      </w:pPr>
      <w:r>
        <w:t xml:space="preserve">3. After Discharge or Outpatient Charges: Follow the billing procedure first with the patient bills, then with the monthly statements as follows: </w:t>
      </w:r>
    </w:p>
    <w:p w14:paraId="0FC6F45A" w14:textId="77777777" w:rsidR="00937246" w:rsidRDefault="00937246" w:rsidP="00DF2092">
      <w:pPr>
        <w:tabs>
          <w:tab w:val="left" w:pos="360"/>
        </w:tabs>
      </w:pPr>
      <w:r>
        <w:tab/>
      </w:r>
      <w:r>
        <w:tab/>
      </w:r>
    </w:p>
    <w:p w14:paraId="5E98D1D9" w14:textId="16215D7E" w:rsidR="00937246" w:rsidRDefault="00616DAA" w:rsidP="00D25E8C">
      <w:pPr>
        <w:tabs>
          <w:tab w:val="left" w:pos="360"/>
        </w:tabs>
        <w:ind w:left="720"/>
      </w:pPr>
      <w:r>
        <w:t>a. Patient Accounts with No Insurance C</w:t>
      </w:r>
      <w:r w:rsidR="000A2BFF">
        <w:t xml:space="preserve">overage - After following the billing procedure with accounts where there was no payment or other action, each step is noted by the Business </w:t>
      </w:r>
      <w:r w:rsidR="00F71941">
        <w:t>Office Representative</w:t>
      </w:r>
      <w:r w:rsidR="000A2BFF">
        <w:t xml:space="preserve"> starting here: </w:t>
      </w:r>
    </w:p>
    <w:p w14:paraId="27B751AB" w14:textId="77777777" w:rsidR="00937246" w:rsidRDefault="00937246" w:rsidP="00DF2092">
      <w:pPr>
        <w:tabs>
          <w:tab w:val="left" w:pos="360"/>
        </w:tabs>
      </w:pPr>
      <w:r>
        <w:tab/>
      </w:r>
      <w:r>
        <w:tab/>
      </w:r>
      <w:r>
        <w:tab/>
      </w:r>
    </w:p>
    <w:p w14:paraId="3EC4CCCF" w14:textId="2A3631B6" w:rsidR="00937246" w:rsidRDefault="00937246" w:rsidP="00DF2092">
      <w:pPr>
        <w:tabs>
          <w:tab w:val="left" w:pos="360"/>
        </w:tabs>
      </w:pPr>
      <w:r>
        <w:tab/>
      </w:r>
      <w:r>
        <w:tab/>
      </w:r>
      <w:r>
        <w:tab/>
      </w:r>
      <w:r w:rsidR="000A2BFF">
        <w:t xml:space="preserve">(1) 1st Monthly Statement- Approximately </w:t>
      </w:r>
      <w:r w:rsidR="00F71941">
        <w:t>28</w:t>
      </w:r>
      <w:r w:rsidR="000A2BFF">
        <w:t xml:space="preserve"> days - send statement.</w:t>
      </w:r>
    </w:p>
    <w:p w14:paraId="1EF20A2D" w14:textId="77777777" w:rsidR="00937246" w:rsidRDefault="00937246" w:rsidP="00DF2092">
      <w:pPr>
        <w:tabs>
          <w:tab w:val="left" w:pos="360"/>
        </w:tabs>
      </w:pPr>
    </w:p>
    <w:p w14:paraId="467D262E" w14:textId="2B0F94A4" w:rsidR="00937246" w:rsidRDefault="000A2BFF" w:rsidP="00D25E8C">
      <w:pPr>
        <w:tabs>
          <w:tab w:val="left" w:pos="360"/>
        </w:tabs>
        <w:ind w:left="1440"/>
      </w:pPr>
      <w:r>
        <w:t xml:space="preserve">(2) 2nd Monthly Statement- Approximately </w:t>
      </w:r>
      <w:r w:rsidR="00F71941">
        <w:t>56</w:t>
      </w:r>
      <w:r>
        <w:t xml:space="preserve"> days- send statement with appropriate message. </w:t>
      </w:r>
    </w:p>
    <w:p w14:paraId="4A2E97A4" w14:textId="77777777" w:rsidR="00937246" w:rsidRDefault="00937246" w:rsidP="00DF2092">
      <w:pPr>
        <w:tabs>
          <w:tab w:val="left" w:pos="360"/>
        </w:tabs>
      </w:pPr>
    </w:p>
    <w:p w14:paraId="787C3BC0" w14:textId="6B01470C" w:rsidR="00937246" w:rsidRDefault="000A2BFF" w:rsidP="00D25E8C">
      <w:pPr>
        <w:tabs>
          <w:tab w:val="left" w:pos="360"/>
        </w:tabs>
        <w:ind w:left="1440"/>
      </w:pPr>
      <w:r>
        <w:t xml:space="preserve">(3) 3rd Monthly Statement- Approximately </w:t>
      </w:r>
      <w:r w:rsidR="00F71941">
        <w:t>84</w:t>
      </w:r>
      <w:r>
        <w:t xml:space="preserve"> days- send statement with appropriate message. </w:t>
      </w:r>
    </w:p>
    <w:p w14:paraId="510D3866" w14:textId="77777777" w:rsidR="00937246" w:rsidRDefault="00937246" w:rsidP="00DF2092">
      <w:pPr>
        <w:tabs>
          <w:tab w:val="left" w:pos="360"/>
        </w:tabs>
      </w:pPr>
    </w:p>
    <w:p w14:paraId="03398071" w14:textId="2C1667A5" w:rsidR="001B4605" w:rsidRDefault="001B4605" w:rsidP="00D25E8C">
      <w:pPr>
        <w:tabs>
          <w:tab w:val="left" w:pos="360"/>
        </w:tabs>
        <w:ind w:left="1440"/>
      </w:pPr>
      <w:r>
        <w:t>(4</w:t>
      </w:r>
      <w:r w:rsidR="000A2BFF">
        <w:t xml:space="preserve">) The </w:t>
      </w:r>
      <w:r w:rsidR="00F71941">
        <w:t>Patient Financial Consultant</w:t>
      </w:r>
      <w:r w:rsidR="000A2BFF">
        <w:t xml:space="preserve"> will work the account </w:t>
      </w:r>
      <w:r w:rsidR="00E371BD">
        <w:t>from the first statement until the account is deemed uncollectible</w:t>
      </w:r>
      <w:r w:rsidR="000A2BFF">
        <w:t xml:space="preserve">. </w:t>
      </w:r>
      <w:r w:rsidR="00E371BD">
        <w:t xml:space="preserve"> </w:t>
      </w:r>
      <w:r w:rsidR="000A2BFF">
        <w:t xml:space="preserve">If </w:t>
      </w:r>
      <w:r w:rsidR="002B01E2">
        <w:t>the Patient Financial Consultant</w:t>
      </w:r>
      <w:r w:rsidR="000A2BFF">
        <w:t xml:space="preserve"> is unsuccessful in setting up an acceptable payment plan, the account will be </w:t>
      </w:r>
      <w:r w:rsidR="002B01E2">
        <w:t>placed on the collection’s spreadsheet for</w:t>
      </w:r>
      <w:r w:rsidR="000A2BFF">
        <w:t xml:space="preserve"> approval of collection write-off. </w:t>
      </w:r>
    </w:p>
    <w:p w14:paraId="50012B4B" w14:textId="77777777" w:rsidR="001B4605" w:rsidRDefault="001B4605" w:rsidP="00DF2092">
      <w:pPr>
        <w:tabs>
          <w:tab w:val="left" w:pos="360"/>
        </w:tabs>
      </w:pPr>
    </w:p>
    <w:p w14:paraId="57E6B796" w14:textId="77777777" w:rsidR="001B4605" w:rsidRDefault="001B4605" w:rsidP="00D25E8C">
      <w:pPr>
        <w:tabs>
          <w:tab w:val="left" w:pos="360"/>
        </w:tabs>
        <w:ind w:left="1440"/>
      </w:pPr>
      <w:r>
        <w:t>(5</w:t>
      </w:r>
      <w:r w:rsidR="000A2BFF">
        <w:t xml:space="preserve">) Accounts are listed for Collection Write-Off- The report lists the patient's account number, name, date of write-off, and amount of write-off. </w:t>
      </w:r>
    </w:p>
    <w:p w14:paraId="491DD015" w14:textId="77777777" w:rsidR="001B4605" w:rsidRDefault="001B4605" w:rsidP="00DF2092">
      <w:pPr>
        <w:tabs>
          <w:tab w:val="left" w:pos="360"/>
        </w:tabs>
      </w:pPr>
    </w:p>
    <w:p w14:paraId="0DC6D24B" w14:textId="77777777" w:rsidR="001B4605" w:rsidRDefault="001B4605" w:rsidP="00DF2092">
      <w:pPr>
        <w:tabs>
          <w:tab w:val="left" w:pos="360"/>
        </w:tabs>
      </w:pPr>
      <w:r>
        <w:tab/>
      </w:r>
      <w:r>
        <w:tab/>
      </w:r>
      <w:r w:rsidR="00616DAA">
        <w:t xml:space="preserve"> b. Patient Accounts with Insurance C</w:t>
      </w:r>
      <w:r w:rsidR="000A2BFF">
        <w:t>overage</w:t>
      </w:r>
      <w:r w:rsidR="00616DAA">
        <w:t>,</w:t>
      </w:r>
      <w:r w:rsidR="000A2BFF">
        <w:t xml:space="preserve"> if </w:t>
      </w:r>
      <w:r w:rsidR="00616DAA">
        <w:t>Insurance Pays and there is a Balance D</w:t>
      </w:r>
      <w:r w:rsidR="000A2BFF">
        <w:t xml:space="preserve">ue: </w:t>
      </w:r>
    </w:p>
    <w:p w14:paraId="1F7E2FC9" w14:textId="77777777" w:rsidR="001B4605" w:rsidRDefault="001B4605" w:rsidP="00DF2092">
      <w:pPr>
        <w:tabs>
          <w:tab w:val="left" w:pos="360"/>
        </w:tabs>
      </w:pPr>
    </w:p>
    <w:p w14:paraId="46FBEFC3" w14:textId="77777777" w:rsidR="001B4605" w:rsidRDefault="000A2BFF" w:rsidP="00D25E8C">
      <w:pPr>
        <w:tabs>
          <w:tab w:val="left" w:pos="360"/>
        </w:tabs>
        <w:ind w:left="1440"/>
      </w:pPr>
      <w:r>
        <w:t xml:space="preserve">(1) 1st Monthly Statement shows the total amount of the bill, how much the insurance paid, and the balance due from the patient. </w:t>
      </w:r>
    </w:p>
    <w:p w14:paraId="4A29D917" w14:textId="77777777" w:rsidR="001B4605" w:rsidRDefault="001B4605" w:rsidP="00DF2092">
      <w:pPr>
        <w:tabs>
          <w:tab w:val="left" w:pos="360"/>
        </w:tabs>
      </w:pPr>
    </w:p>
    <w:p w14:paraId="427A2B9C" w14:textId="5EEE1447" w:rsidR="001B4605" w:rsidRDefault="000A2BFF" w:rsidP="00D25E8C">
      <w:pPr>
        <w:tabs>
          <w:tab w:val="left" w:pos="360"/>
        </w:tabs>
        <w:ind w:left="1440"/>
      </w:pPr>
      <w:r>
        <w:t xml:space="preserve">(2) 2nd Monthly Statement (if there is no payment received) is sent out with balance due. All action taken from this point on is noted by the </w:t>
      </w:r>
      <w:r w:rsidR="002B01E2">
        <w:t>Patient Financial Consultant</w:t>
      </w:r>
      <w:r>
        <w:t xml:space="preserve">. </w:t>
      </w:r>
    </w:p>
    <w:p w14:paraId="63E7DADC" w14:textId="77777777" w:rsidR="001B4605" w:rsidRDefault="001B4605" w:rsidP="00DF2092">
      <w:pPr>
        <w:tabs>
          <w:tab w:val="left" w:pos="360"/>
        </w:tabs>
      </w:pPr>
    </w:p>
    <w:p w14:paraId="50C405EF" w14:textId="77777777" w:rsidR="001B4605" w:rsidRDefault="000A2BFF" w:rsidP="00D25E8C">
      <w:pPr>
        <w:tabs>
          <w:tab w:val="left" w:pos="360"/>
        </w:tabs>
        <w:ind w:left="1440"/>
      </w:pPr>
      <w:r>
        <w:t>(3) 3rd Monthly Statement (if</w:t>
      </w:r>
      <w:r w:rsidR="001B4605">
        <w:t xml:space="preserve"> </w:t>
      </w:r>
      <w:r>
        <w:t xml:space="preserve">there is no payment received) is sent out with balance due. </w:t>
      </w:r>
    </w:p>
    <w:p w14:paraId="0B247DC4" w14:textId="77777777" w:rsidR="001B4605" w:rsidRDefault="001B4605" w:rsidP="00DF2092">
      <w:pPr>
        <w:tabs>
          <w:tab w:val="left" w:pos="360"/>
        </w:tabs>
      </w:pPr>
    </w:p>
    <w:p w14:paraId="11F976D0" w14:textId="34FD0363" w:rsidR="001B4605" w:rsidRDefault="001B4605" w:rsidP="00D25E8C">
      <w:pPr>
        <w:tabs>
          <w:tab w:val="left" w:pos="360"/>
        </w:tabs>
        <w:ind w:left="1440"/>
      </w:pPr>
      <w:r>
        <w:t xml:space="preserve">(4) The </w:t>
      </w:r>
      <w:r w:rsidR="002B01E2">
        <w:t>Patient Financial Consultant</w:t>
      </w:r>
      <w:r w:rsidR="00E371BD">
        <w:t xml:space="preserve"> will work the account from the first statement until deemed uncollectible</w:t>
      </w:r>
      <w:r>
        <w:t>.</w:t>
      </w:r>
      <w:r w:rsidR="00E371BD">
        <w:t xml:space="preserve"> </w:t>
      </w:r>
      <w:r>
        <w:t xml:space="preserve"> If </w:t>
      </w:r>
      <w:r w:rsidR="002B01E2">
        <w:t>the Patient Financial Consultant</w:t>
      </w:r>
      <w:r>
        <w:t xml:space="preserve"> is unsuccessful in setting up an acceptable payment plan, the account will be </w:t>
      </w:r>
      <w:r w:rsidR="002B01E2">
        <w:t xml:space="preserve">placed on the collection’s spreadsheet for approval of collection write-off.  </w:t>
      </w:r>
      <w:r>
        <w:t xml:space="preserve"> </w:t>
      </w:r>
    </w:p>
    <w:p w14:paraId="2A4FBC4A" w14:textId="77777777" w:rsidR="001B4605" w:rsidRDefault="001B4605" w:rsidP="001B4605">
      <w:pPr>
        <w:tabs>
          <w:tab w:val="left" w:pos="360"/>
        </w:tabs>
      </w:pPr>
    </w:p>
    <w:p w14:paraId="4FF73B99" w14:textId="77777777" w:rsidR="001B4605" w:rsidRDefault="001B4605" w:rsidP="00D25E8C">
      <w:pPr>
        <w:tabs>
          <w:tab w:val="left" w:pos="360"/>
        </w:tabs>
        <w:ind w:left="1440"/>
      </w:pPr>
      <w:r>
        <w:t xml:space="preserve">(5) Accounts are listed for Collection Write-Off- The report lists the patient's account number, name, date of write-off, and amount of write-off. </w:t>
      </w:r>
    </w:p>
    <w:p w14:paraId="5AB638D1" w14:textId="77777777" w:rsidR="001B4605" w:rsidRDefault="001B4605" w:rsidP="001B4605">
      <w:pPr>
        <w:tabs>
          <w:tab w:val="left" w:pos="360"/>
        </w:tabs>
      </w:pPr>
    </w:p>
    <w:p w14:paraId="1BAE9AC5" w14:textId="4B86211A" w:rsidR="00913704" w:rsidRDefault="00913704" w:rsidP="00D25E8C">
      <w:pPr>
        <w:tabs>
          <w:tab w:val="left" w:pos="360"/>
        </w:tabs>
        <w:ind w:left="1440"/>
      </w:pPr>
    </w:p>
    <w:p w14:paraId="1474402D" w14:textId="77777777" w:rsidR="001B4605" w:rsidRDefault="001B4605" w:rsidP="001B4605">
      <w:pPr>
        <w:tabs>
          <w:tab w:val="left" w:pos="360"/>
        </w:tabs>
      </w:pPr>
    </w:p>
    <w:p w14:paraId="1BF51719" w14:textId="77777777" w:rsidR="002B01E2" w:rsidRDefault="002B01E2" w:rsidP="001B4605">
      <w:pPr>
        <w:tabs>
          <w:tab w:val="left" w:pos="360"/>
        </w:tabs>
      </w:pPr>
    </w:p>
    <w:p w14:paraId="4ACEB233" w14:textId="424CE813" w:rsidR="001B4605" w:rsidRDefault="001B4605" w:rsidP="002B01E2">
      <w:pPr>
        <w:tabs>
          <w:tab w:val="left" w:pos="360"/>
        </w:tabs>
        <w:ind w:left="360"/>
      </w:pPr>
      <w:r>
        <w:lastRenderedPageBreak/>
        <w:t xml:space="preserve">4. On an ongoing basis, </w:t>
      </w:r>
      <w:r w:rsidR="002B01E2">
        <w:t>the Patient Financial Consultant</w:t>
      </w:r>
      <w:r>
        <w:t xml:space="preserve"> will monitor patients who consistently do not pay their bills and yet are regularly visiting the hospital. The </w:t>
      </w:r>
      <w:r w:rsidR="002B01E2">
        <w:t>Patient Financial Consultant</w:t>
      </w:r>
      <w:r>
        <w:t xml:space="preserve"> will keep the Business Office Manager apprised of problem situations. The Business Office Manager will be responsible for informing appropriate persons.</w:t>
      </w:r>
    </w:p>
    <w:p w14:paraId="76971CAD" w14:textId="77777777" w:rsidR="001B4605" w:rsidRDefault="001B4605" w:rsidP="001B4605">
      <w:pPr>
        <w:tabs>
          <w:tab w:val="left" w:pos="360"/>
        </w:tabs>
      </w:pPr>
    </w:p>
    <w:p w14:paraId="1E3403FF" w14:textId="1B700828" w:rsidR="001D79B7" w:rsidRDefault="001B4605" w:rsidP="001B4605">
      <w:pPr>
        <w:tabs>
          <w:tab w:val="left" w:pos="360"/>
        </w:tabs>
      </w:pPr>
      <w:r>
        <w:t xml:space="preserve">C. Financial Arrangements - Credit Policy </w:t>
      </w:r>
    </w:p>
    <w:p w14:paraId="4C8A1DE2" w14:textId="77777777" w:rsidR="001D79B7" w:rsidRDefault="001D79B7" w:rsidP="001B4605">
      <w:pPr>
        <w:tabs>
          <w:tab w:val="left" w:pos="360"/>
        </w:tabs>
      </w:pPr>
    </w:p>
    <w:p w14:paraId="69A9558B" w14:textId="5431717C" w:rsidR="001D79B7" w:rsidRDefault="001B4605" w:rsidP="001D79B7">
      <w:pPr>
        <w:pStyle w:val="ListParagraph"/>
        <w:numPr>
          <w:ilvl w:val="0"/>
          <w:numId w:val="6"/>
        </w:numPr>
        <w:tabs>
          <w:tab w:val="left" w:pos="360"/>
        </w:tabs>
      </w:pPr>
      <w:r>
        <w:t xml:space="preserve">Financial Arrangements </w:t>
      </w:r>
      <w:r w:rsidR="001D79B7">
        <w:t>–</w:t>
      </w:r>
      <w:r>
        <w:t xml:space="preserve"> Following is a guide for establishment of a payment schedule for accounts.</w:t>
      </w:r>
    </w:p>
    <w:p w14:paraId="07DB7239" w14:textId="68AD9978" w:rsidR="002B01E2" w:rsidRDefault="002B01E2" w:rsidP="002B01E2">
      <w:pPr>
        <w:pStyle w:val="ListParagraph"/>
        <w:tabs>
          <w:tab w:val="left" w:pos="360"/>
        </w:tabs>
        <w:ind w:left="1080"/>
      </w:pPr>
    </w:p>
    <w:p w14:paraId="66E5796B" w14:textId="77777777" w:rsidR="002B01E2" w:rsidRDefault="002B01E2" w:rsidP="002B01E2">
      <w:pPr>
        <w:pStyle w:val="ListParagraph"/>
        <w:tabs>
          <w:tab w:val="left" w:pos="360"/>
        </w:tabs>
        <w:ind w:left="1080"/>
      </w:pPr>
    </w:p>
    <w:tbl>
      <w:tblPr>
        <w:tblStyle w:val="TableGrid"/>
        <w:tblW w:w="0" w:type="auto"/>
        <w:tblInd w:w="450" w:type="dxa"/>
        <w:tblLook w:val="04A0" w:firstRow="1" w:lastRow="0" w:firstColumn="1" w:lastColumn="0" w:noHBand="0" w:noVBand="1"/>
      </w:tblPr>
      <w:tblGrid>
        <w:gridCol w:w="3351"/>
        <w:gridCol w:w="3610"/>
        <w:gridCol w:w="2941"/>
      </w:tblGrid>
      <w:tr w:rsidR="002B01E2" w14:paraId="18EC1048" w14:textId="77777777" w:rsidTr="002B01E2">
        <w:trPr>
          <w:trHeight w:val="617"/>
        </w:trPr>
        <w:tc>
          <w:tcPr>
            <w:tcW w:w="3351" w:type="dxa"/>
            <w:shd w:val="clear" w:color="auto" w:fill="D9D9D9" w:themeFill="background1" w:themeFillShade="D9"/>
          </w:tcPr>
          <w:p w14:paraId="7FBCE36E" w14:textId="303F470E" w:rsidR="002B01E2" w:rsidRPr="009B799A" w:rsidRDefault="002B01E2" w:rsidP="00354432">
            <w:pPr>
              <w:jc w:val="center"/>
              <w:rPr>
                <w:b/>
                <w:sz w:val="28"/>
                <w:szCs w:val="28"/>
              </w:rPr>
            </w:pPr>
            <w:r w:rsidRPr="009B799A">
              <w:rPr>
                <w:b/>
                <w:sz w:val="28"/>
                <w:szCs w:val="28"/>
              </w:rPr>
              <w:t xml:space="preserve">Amount </w:t>
            </w:r>
            <w:r>
              <w:rPr>
                <w:b/>
                <w:sz w:val="28"/>
                <w:szCs w:val="28"/>
              </w:rPr>
              <w:t>Owed</w:t>
            </w:r>
          </w:p>
        </w:tc>
        <w:tc>
          <w:tcPr>
            <w:tcW w:w="3610" w:type="dxa"/>
            <w:shd w:val="clear" w:color="auto" w:fill="D9D9D9" w:themeFill="background1" w:themeFillShade="D9"/>
          </w:tcPr>
          <w:p w14:paraId="0C6DE9E0" w14:textId="77777777" w:rsidR="002B01E2" w:rsidRPr="009B799A" w:rsidRDefault="002B01E2" w:rsidP="00354432">
            <w:pPr>
              <w:jc w:val="center"/>
              <w:rPr>
                <w:b/>
                <w:sz w:val="28"/>
                <w:szCs w:val="28"/>
              </w:rPr>
            </w:pPr>
            <w:r>
              <w:rPr>
                <w:b/>
                <w:sz w:val="28"/>
                <w:szCs w:val="28"/>
              </w:rPr>
              <w:t>Payment Arrangement</w:t>
            </w:r>
          </w:p>
        </w:tc>
        <w:tc>
          <w:tcPr>
            <w:tcW w:w="2941" w:type="dxa"/>
            <w:shd w:val="clear" w:color="auto" w:fill="D9D9D9" w:themeFill="background1" w:themeFillShade="D9"/>
          </w:tcPr>
          <w:p w14:paraId="6FB1F40A" w14:textId="77777777" w:rsidR="002B01E2" w:rsidRDefault="002B01E2" w:rsidP="00354432">
            <w:pPr>
              <w:jc w:val="center"/>
              <w:rPr>
                <w:b/>
                <w:sz w:val="28"/>
                <w:szCs w:val="28"/>
              </w:rPr>
            </w:pPr>
            <w:r>
              <w:rPr>
                <w:b/>
                <w:sz w:val="28"/>
                <w:szCs w:val="28"/>
              </w:rPr>
              <w:t>Time Period</w:t>
            </w:r>
          </w:p>
        </w:tc>
      </w:tr>
      <w:tr w:rsidR="002B01E2" w14:paraId="35E5B782" w14:textId="77777777" w:rsidTr="002B01E2">
        <w:trPr>
          <w:trHeight w:val="503"/>
        </w:trPr>
        <w:tc>
          <w:tcPr>
            <w:tcW w:w="3351" w:type="dxa"/>
          </w:tcPr>
          <w:p w14:paraId="33395C52" w14:textId="77777777" w:rsidR="002B01E2" w:rsidRPr="009B799A" w:rsidRDefault="002B01E2" w:rsidP="00354432">
            <w:pPr>
              <w:jc w:val="center"/>
              <w:rPr>
                <w:b/>
                <w:sz w:val="28"/>
                <w:szCs w:val="28"/>
              </w:rPr>
            </w:pPr>
            <w:r>
              <w:rPr>
                <w:b/>
                <w:sz w:val="28"/>
                <w:szCs w:val="28"/>
              </w:rPr>
              <w:t>Under $300</w:t>
            </w:r>
          </w:p>
        </w:tc>
        <w:tc>
          <w:tcPr>
            <w:tcW w:w="3610" w:type="dxa"/>
          </w:tcPr>
          <w:p w14:paraId="3A97782D" w14:textId="77777777" w:rsidR="002B01E2" w:rsidRPr="009B799A" w:rsidRDefault="002B01E2" w:rsidP="00354432">
            <w:pPr>
              <w:jc w:val="center"/>
              <w:rPr>
                <w:b/>
                <w:sz w:val="28"/>
                <w:szCs w:val="28"/>
              </w:rPr>
            </w:pPr>
            <w:r>
              <w:rPr>
                <w:b/>
                <w:sz w:val="28"/>
                <w:szCs w:val="28"/>
              </w:rPr>
              <w:t>Minimum $25.00 per month</w:t>
            </w:r>
          </w:p>
        </w:tc>
        <w:tc>
          <w:tcPr>
            <w:tcW w:w="2941" w:type="dxa"/>
          </w:tcPr>
          <w:p w14:paraId="5FEA2DA3" w14:textId="77777777" w:rsidR="002B01E2" w:rsidRDefault="002B01E2" w:rsidP="00354432">
            <w:pPr>
              <w:jc w:val="center"/>
              <w:rPr>
                <w:b/>
                <w:sz w:val="28"/>
                <w:szCs w:val="28"/>
              </w:rPr>
            </w:pPr>
            <w:r>
              <w:rPr>
                <w:b/>
                <w:sz w:val="28"/>
                <w:szCs w:val="28"/>
              </w:rPr>
              <w:t>Up to 12 months</w:t>
            </w:r>
          </w:p>
        </w:tc>
      </w:tr>
      <w:tr w:rsidR="002B01E2" w14:paraId="7798EE9F" w14:textId="77777777" w:rsidTr="002B01E2">
        <w:trPr>
          <w:trHeight w:val="530"/>
        </w:trPr>
        <w:tc>
          <w:tcPr>
            <w:tcW w:w="3351" w:type="dxa"/>
          </w:tcPr>
          <w:p w14:paraId="48BDC247" w14:textId="77777777" w:rsidR="002B01E2" w:rsidRPr="009B799A" w:rsidRDefault="002B01E2" w:rsidP="00354432">
            <w:pPr>
              <w:jc w:val="center"/>
              <w:rPr>
                <w:b/>
                <w:sz w:val="28"/>
                <w:szCs w:val="28"/>
              </w:rPr>
            </w:pPr>
            <w:r>
              <w:rPr>
                <w:b/>
                <w:sz w:val="28"/>
                <w:szCs w:val="28"/>
              </w:rPr>
              <w:t>$301 - $600</w:t>
            </w:r>
          </w:p>
        </w:tc>
        <w:tc>
          <w:tcPr>
            <w:tcW w:w="3610" w:type="dxa"/>
          </w:tcPr>
          <w:p w14:paraId="32D305A5" w14:textId="77777777" w:rsidR="002B01E2" w:rsidRPr="009B799A" w:rsidRDefault="002B01E2" w:rsidP="00354432">
            <w:pPr>
              <w:jc w:val="center"/>
              <w:rPr>
                <w:b/>
                <w:sz w:val="28"/>
                <w:szCs w:val="28"/>
              </w:rPr>
            </w:pPr>
            <w:r>
              <w:rPr>
                <w:b/>
                <w:sz w:val="28"/>
                <w:szCs w:val="28"/>
              </w:rPr>
              <w:t>Minimum $50.00 per month</w:t>
            </w:r>
          </w:p>
        </w:tc>
        <w:tc>
          <w:tcPr>
            <w:tcW w:w="2941" w:type="dxa"/>
          </w:tcPr>
          <w:p w14:paraId="648C5B56" w14:textId="77777777" w:rsidR="002B01E2" w:rsidRDefault="002B01E2" w:rsidP="00354432">
            <w:pPr>
              <w:jc w:val="center"/>
              <w:rPr>
                <w:b/>
                <w:sz w:val="28"/>
                <w:szCs w:val="28"/>
              </w:rPr>
            </w:pPr>
            <w:r>
              <w:rPr>
                <w:b/>
                <w:sz w:val="28"/>
                <w:szCs w:val="28"/>
              </w:rPr>
              <w:t>Up to 12 months</w:t>
            </w:r>
          </w:p>
        </w:tc>
      </w:tr>
      <w:tr w:rsidR="002B01E2" w14:paraId="21399DD8" w14:textId="77777777" w:rsidTr="002B01E2">
        <w:trPr>
          <w:trHeight w:val="548"/>
        </w:trPr>
        <w:tc>
          <w:tcPr>
            <w:tcW w:w="3351" w:type="dxa"/>
          </w:tcPr>
          <w:p w14:paraId="410737AF" w14:textId="77777777" w:rsidR="002B01E2" w:rsidRPr="009B799A" w:rsidRDefault="002B01E2" w:rsidP="00354432">
            <w:pPr>
              <w:jc w:val="center"/>
              <w:rPr>
                <w:b/>
                <w:sz w:val="28"/>
                <w:szCs w:val="28"/>
              </w:rPr>
            </w:pPr>
            <w:r>
              <w:rPr>
                <w:b/>
                <w:sz w:val="28"/>
                <w:szCs w:val="28"/>
              </w:rPr>
              <w:t>$601 - $900</w:t>
            </w:r>
          </w:p>
        </w:tc>
        <w:tc>
          <w:tcPr>
            <w:tcW w:w="3610" w:type="dxa"/>
          </w:tcPr>
          <w:p w14:paraId="4CEFFA08" w14:textId="77777777" w:rsidR="002B01E2" w:rsidRPr="009B799A" w:rsidRDefault="002B01E2" w:rsidP="00354432">
            <w:pPr>
              <w:jc w:val="center"/>
              <w:rPr>
                <w:b/>
                <w:sz w:val="28"/>
                <w:szCs w:val="28"/>
              </w:rPr>
            </w:pPr>
            <w:r>
              <w:rPr>
                <w:b/>
                <w:sz w:val="28"/>
                <w:szCs w:val="28"/>
              </w:rPr>
              <w:t>Minimum $75.00 per month</w:t>
            </w:r>
          </w:p>
        </w:tc>
        <w:tc>
          <w:tcPr>
            <w:tcW w:w="2941" w:type="dxa"/>
          </w:tcPr>
          <w:p w14:paraId="2D57ED5C" w14:textId="77777777" w:rsidR="002B01E2" w:rsidRDefault="002B01E2" w:rsidP="00354432">
            <w:pPr>
              <w:jc w:val="center"/>
              <w:rPr>
                <w:b/>
                <w:sz w:val="28"/>
                <w:szCs w:val="28"/>
              </w:rPr>
            </w:pPr>
            <w:r>
              <w:rPr>
                <w:b/>
                <w:sz w:val="28"/>
                <w:szCs w:val="28"/>
              </w:rPr>
              <w:t>Up to 24 months</w:t>
            </w:r>
          </w:p>
        </w:tc>
      </w:tr>
      <w:tr w:rsidR="002B01E2" w14:paraId="6A0066BB" w14:textId="77777777" w:rsidTr="002B01E2">
        <w:trPr>
          <w:trHeight w:val="530"/>
        </w:trPr>
        <w:tc>
          <w:tcPr>
            <w:tcW w:w="3351" w:type="dxa"/>
          </w:tcPr>
          <w:p w14:paraId="3A691C85" w14:textId="77777777" w:rsidR="002B01E2" w:rsidRPr="009B799A" w:rsidRDefault="002B01E2" w:rsidP="00354432">
            <w:pPr>
              <w:jc w:val="center"/>
              <w:rPr>
                <w:b/>
                <w:sz w:val="28"/>
                <w:szCs w:val="28"/>
              </w:rPr>
            </w:pPr>
            <w:r>
              <w:rPr>
                <w:b/>
                <w:sz w:val="28"/>
                <w:szCs w:val="28"/>
              </w:rPr>
              <w:t>$901 - $2000</w:t>
            </w:r>
          </w:p>
        </w:tc>
        <w:tc>
          <w:tcPr>
            <w:tcW w:w="3610" w:type="dxa"/>
          </w:tcPr>
          <w:p w14:paraId="6D77E4DE" w14:textId="2CEEDC03" w:rsidR="002B01E2" w:rsidRPr="009B799A" w:rsidRDefault="002B01E2" w:rsidP="00354432">
            <w:pPr>
              <w:jc w:val="center"/>
              <w:rPr>
                <w:b/>
                <w:sz w:val="28"/>
                <w:szCs w:val="28"/>
              </w:rPr>
            </w:pPr>
            <w:r>
              <w:rPr>
                <w:b/>
                <w:sz w:val="28"/>
                <w:szCs w:val="28"/>
              </w:rPr>
              <w:t>Minimum $100.00 per month</w:t>
            </w:r>
          </w:p>
        </w:tc>
        <w:tc>
          <w:tcPr>
            <w:tcW w:w="2941" w:type="dxa"/>
          </w:tcPr>
          <w:p w14:paraId="2B940E96" w14:textId="77777777" w:rsidR="002B01E2" w:rsidRDefault="002B01E2" w:rsidP="00354432">
            <w:pPr>
              <w:jc w:val="center"/>
              <w:rPr>
                <w:b/>
                <w:sz w:val="28"/>
                <w:szCs w:val="28"/>
              </w:rPr>
            </w:pPr>
            <w:r>
              <w:rPr>
                <w:b/>
                <w:sz w:val="28"/>
                <w:szCs w:val="28"/>
              </w:rPr>
              <w:t>Up to 24 months</w:t>
            </w:r>
          </w:p>
        </w:tc>
      </w:tr>
    </w:tbl>
    <w:p w14:paraId="6925B22A" w14:textId="3C2C96EF" w:rsidR="002B01E2" w:rsidRDefault="002B01E2" w:rsidP="002B01E2">
      <w:pPr>
        <w:pStyle w:val="ListParagraph"/>
        <w:tabs>
          <w:tab w:val="left" w:pos="360"/>
        </w:tabs>
        <w:ind w:left="1080"/>
      </w:pPr>
    </w:p>
    <w:p w14:paraId="7783742E" w14:textId="32368BDA" w:rsidR="00FA7F83" w:rsidRDefault="00FA7F83" w:rsidP="00FA7F83">
      <w:pPr>
        <w:tabs>
          <w:tab w:val="left" w:pos="360"/>
        </w:tabs>
        <w:ind w:left="360"/>
      </w:pPr>
      <w:r w:rsidRPr="00FA7F83">
        <w:rPr>
          <w:b/>
          <w:sz w:val="28"/>
          <w:szCs w:val="28"/>
        </w:rPr>
        <w:t>The payment plan guidelines for balances over $2,000. should be divided by 24 monthly installments.  Payment plans that do not meet the minimum amount must be approved by the Business Office Manager</w:t>
      </w:r>
      <w:r>
        <w:rPr>
          <w:b/>
          <w:sz w:val="28"/>
          <w:szCs w:val="28"/>
        </w:rPr>
        <w:t xml:space="preserve"> or Chief Financial Officer.</w:t>
      </w:r>
    </w:p>
    <w:p w14:paraId="131170E0" w14:textId="77777777" w:rsidR="00727129" w:rsidRDefault="00727129" w:rsidP="00D25E8C">
      <w:pPr>
        <w:tabs>
          <w:tab w:val="left" w:pos="360"/>
        </w:tabs>
        <w:ind w:left="720"/>
      </w:pPr>
    </w:p>
    <w:p w14:paraId="7ECB8ED4" w14:textId="3F05B6B2" w:rsidR="001D79B7" w:rsidRDefault="001B4605" w:rsidP="00727129">
      <w:pPr>
        <w:tabs>
          <w:tab w:val="left" w:pos="360"/>
        </w:tabs>
        <w:ind w:left="1440"/>
      </w:pPr>
      <w:r>
        <w:t xml:space="preserve">If patient fails to follow through on their monthly payment </w:t>
      </w:r>
      <w:r w:rsidR="00727129">
        <w:t xml:space="preserve">agreement, then </w:t>
      </w:r>
      <w:r>
        <w:t xml:space="preserve">each step taken is noted by the </w:t>
      </w:r>
      <w:r w:rsidR="00FA7F83">
        <w:t>Patient Financial Counselor</w:t>
      </w:r>
      <w:r>
        <w:t xml:space="preserve">. </w:t>
      </w:r>
    </w:p>
    <w:p w14:paraId="4C50F421" w14:textId="77777777" w:rsidR="001D79B7" w:rsidRDefault="001D79B7" w:rsidP="001D79B7">
      <w:pPr>
        <w:tabs>
          <w:tab w:val="left" w:pos="360"/>
        </w:tabs>
      </w:pPr>
    </w:p>
    <w:p w14:paraId="58B27CDD" w14:textId="14F99678" w:rsidR="00595CC2" w:rsidRDefault="001D79B7" w:rsidP="00D25E8C">
      <w:pPr>
        <w:tabs>
          <w:tab w:val="left" w:pos="360"/>
        </w:tabs>
        <w:ind w:left="720"/>
      </w:pPr>
      <w:r>
        <w:t>2.</w:t>
      </w:r>
      <w:r w:rsidR="00595CC2">
        <w:t xml:space="preserve">  </w:t>
      </w:r>
      <w:r>
        <w:t>General Credit Policy-</w:t>
      </w:r>
      <w:r w:rsidR="00FA7F83">
        <w:t xml:space="preserve"> </w:t>
      </w:r>
      <w:r>
        <w:t>Try to get the responsible party to agree to a specific payment plan.</w:t>
      </w:r>
      <w:r w:rsidR="00595CC2">
        <w:t xml:space="preserve"> </w:t>
      </w:r>
      <w:r>
        <w:t xml:space="preserve"> If patient states no payment can be made at this time, allow one (1) to three (3) months grace, depending on the situation. Patient must contact us at that time to inform us of the status. </w:t>
      </w:r>
    </w:p>
    <w:p w14:paraId="526D132F" w14:textId="77777777" w:rsidR="00595CC2" w:rsidRDefault="00595CC2" w:rsidP="001D79B7">
      <w:pPr>
        <w:tabs>
          <w:tab w:val="left" w:pos="360"/>
        </w:tabs>
      </w:pPr>
    </w:p>
    <w:p w14:paraId="3D85D74E" w14:textId="252CCC6F" w:rsidR="00D25E8C" w:rsidRDefault="00FA7F83" w:rsidP="00831125">
      <w:pPr>
        <w:pStyle w:val="ListParagraph"/>
        <w:numPr>
          <w:ilvl w:val="0"/>
          <w:numId w:val="7"/>
        </w:numPr>
        <w:tabs>
          <w:tab w:val="left" w:pos="360"/>
        </w:tabs>
      </w:pPr>
      <w:r>
        <w:t>Financial Assistance</w:t>
      </w:r>
      <w:r w:rsidR="001D79B7">
        <w:t xml:space="preserve">- A patient can apply for </w:t>
      </w:r>
      <w:r>
        <w:t>Financial Assistance</w:t>
      </w:r>
      <w:r w:rsidR="00D25E8C">
        <w:t xml:space="preserve">. See Criteria and </w:t>
      </w:r>
    </w:p>
    <w:p w14:paraId="52A18E05" w14:textId="707F3734" w:rsidR="001D79B7" w:rsidRDefault="001D79B7" w:rsidP="00D25E8C">
      <w:pPr>
        <w:tabs>
          <w:tab w:val="left" w:pos="360"/>
        </w:tabs>
        <w:ind w:left="720"/>
      </w:pPr>
      <w:r>
        <w:t xml:space="preserve">Plan of Action for </w:t>
      </w:r>
      <w:r w:rsidR="00FA7F83">
        <w:t>Financial Assistance Program</w:t>
      </w:r>
      <w:r>
        <w:t>.</w:t>
      </w:r>
    </w:p>
    <w:p w14:paraId="1AD248FC" w14:textId="77777777" w:rsidR="00595CC2" w:rsidRDefault="00595CC2" w:rsidP="00595CC2">
      <w:pPr>
        <w:tabs>
          <w:tab w:val="left" w:pos="360"/>
        </w:tabs>
        <w:rPr>
          <w:sz w:val="20"/>
        </w:rPr>
      </w:pPr>
    </w:p>
    <w:p w14:paraId="1046A5FF" w14:textId="15AFE498" w:rsidR="00831125" w:rsidRDefault="00595CC2" w:rsidP="00FA7F83">
      <w:pPr>
        <w:tabs>
          <w:tab w:val="left" w:pos="360"/>
        </w:tabs>
      </w:pPr>
      <w:r>
        <w:t xml:space="preserve">D. Write-Off Procedure - Accounts reviewed by the </w:t>
      </w:r>
      <w:r w:rsidR="00FA7F83">
        <w:t xml:space="preserve">Patient Financial Consultant </w:t>
      </w:r>
      <w:r>
        <w:t xml:space="preserve">every month. </w:t>
      </w:r>
    </w:p>
    <w:p w14:paraId="015ACED4" w14:textId="77777777" w:rsidR="00831125" w:rsidRDefault="00831125" w:rsidP="00595CC2">
      <w:pPr>
        <w:tabs>
          <w:tab w:val="left" w:pos="360"/>
        </w:tabs>
      </w:pPr>
    </w:p>
    <w:p w14:paraId="13BD4E6B" w14:textId="3B773205" w:rsidR="00831125" w:rsidRDefault="00595CC2" w:rsidP="00D25E8C">
      <w:pPr>
        <w:tabs>
          <w:tab w:val="left" w:pos="360"/>
        </w:tabs>
        <w:ind w:left="720"/>
      </w:pPr>
      <w:r>
        <w:t>1. Accounts to be written off to the Collection Agency,</w:t>
      </w:r>
      <w:r w:rsidR="00FA7F83">
        <w:t xml:space="preserve"> </w:t>
      </w:r>
      <w:r>
        <w:t xml:space="preserve">Bankruptcy, and </w:t>
      </w:r>
      <w:r w:rsidR="00FA7F83">
        <w:t>Financial Assistance</w:t>
      </w:r>
      <w:r>
        <w:t xml:space="preserve"> Write-Offs are listed separately. </w:t>
      </w:r>
    </w:p>
    <w:p w14:paraId="60762993" w14:textId="77777777" w:rsidR="00D25E8C" w:rsidRDefault="00D25E8C" w:rsidP="00595CC2">
      <w:pPr>
        <w:tabs>
          <w:tab w:val="left" w:pos="360"/>
        </w:tabs>
      </w:pPr>
    </w:p>
    <w:p w14:paraId="3025D56A" w14:textId="77777777" w:rsidR="00831125" w:rsidRDefault="00595CC2" w:rsidP="00D25E8C">
      <w:pPr>
        <w:tabs>
          <w:tab w:val="left" w:pos="360"/>
        </w:tabs>
        <w:ind w:left="720"/>
      </w:pPr>
      <w:r>
        <w:t xml:space="preserve">2. The report lists the patient's account number, name, date of write-off, and amount to be written off, as well as the type of write-off. </w:t>
      </w:r>
    </w:p>
    <w:p w14:paraId="36791FF8" w14:textId="77777777" w:rsidR="00831125" w:rsidRDefault="00831125" w:rsidP="00595CC2">
      <w:pPr>
        <w:tabs>
          <w:tab w:val="left" w:pos="360"/>
        </w:tabs>
      </w:pPr>
    </w:p>
    <w:p w14:paraId="55424D6F" w14:textId="731F3CD8" w:rsidR="00831125" w:rsidRDefault="00595CC2" w:rsidP="00FA7F83">
      <w:pPr>
        <w:tabs>
          <w:tab w:val="left" w:pos="360"/>
        </w:tabs>
        <w:ind w:left="720"/>
      </w:pPr>
      <w:r>
        <w:t xml:space="preserve">3. The Patient </w:t>
      </w:r>
      <w:r w:rsidR="00FA7F83">
        <w:t>Financial Consultant</w:t>
      </w:r>
      <w:r>
        <w:t xml:space="preserve"> shall note on each patient billing the amount written off, date of write-off, and type of write-off. </w:t>
      </w:r>
    </w:p>
    <w:p w14:paraId="6BA18545" w14:textId="77777777" w:rsidR="00831125" w:rsidRDefault="00831125" w:rsidP="00595CC2">
      <w:pPr>
        <w:tabs>
          <w:tab w:val="left" w:pos="360"/>
        </w:tabs>
      </w:pPr>
    </w:p>
    <w:p w14:paraId="629590E2" w14:textId="6B84EFF5" w:rsidR="00AE4138" w:rsidRDefault="00D25E8C" w:rsidP="00595CC2">
      <w:pPr>
        <w:tabs>
          <w:tab w:val="left" w:pos="360"/>
        </w:tabs>
      </w:pPr>
      <w:r>
        <w:tab/>
      </w:r>
    </w:p>
    <w:p w14:paraId="1EE42637" w14:textId="77777777" w:rsidR="00831125" w:rsidRDefault="00595CC2" w:rsidP="00595CC2">
      <w:pPr>
        <w:tabs>
          <w:tab w:val="left" w:pos="360"/>
        </w:tabs>
      </w:pPr>
      <w:r>
        <w:t xml:space="preserve">E. Other Items </w:t>
      </w:r>
    </w:p>
    <w:p w14:paraId="319AC5FA" w14:textId="77777777" w:rsidR="00AE4138" w:rsidRDefault="00AE4138" w:rsidP="00AE4138">
      <w:pPr>
        <w:tabs>
          <w:tab w:val="left" w:pos="360"/>
        </w:tabs>
      </w:pPr>
    </w:p>
    <w:p w14:paraId="19A9D1ED" w14:textId="77777777" w:rsidR="00831125" w:rsidRDefault="00595CC2" w:rsidP="00AE4138">
      <w:pPr>
        <w:tabs>
          <w:tab w:val="left" w:pos="360"/>
        </w:tabs>
        <w:ind w:left="360"/>
      </w:pPr>
      <w:r>
        <w:t>1. Record insurance rejections, effective dates of ban</w:t>
      </w:r>
      <w:r w:rsidR="00616DAA">
        <w:t>kruptcy, and patient agreements-to-</w:t>
      </w:r>
      <w:r>
        <w:t xml:space="preserve">pay in the computer under the patient's account. Each entry is dated and initialed by the individual concerned with the action taken. </w:t>
      </w:r>
    </w:p>
    <w:p w14:paraId="22E73D3A" w14:textId="77777777" w:rsidR="00831125" w:rsidRDefault="00AE4138" w:rsidP="00595CC2">
      <w:pPr>
        <w:tabs>
          <w:tab w:val="left" w:pos="360"/>
        </w:tabs>
      </w:pPr>
      <w:r>
        <w:tab/>
      </w:r>
    </w:p>
    <w:p w14:paraId="1C24A287" w14:textId="77777777" w:rsidR="00831125" w:rsidRDefault="00595CC2" w:rsidP="00AE4138">
      <w:pPr>
        <w:tabs>
          <w:tab w:val="left" w:pos="360"/>
        </w:tabs>
        <w:ind w:left="360"/>
      </w:pPr>
      <w:r>
        <w:t xml:space="preserve">2. Check accounts in computer by Guarantor including Collection Write-Offs before signing a receipt "Paid in Full" or accepting a check marked "Paid in Full". </w:t>
      </w:r>
    </w:p>
    <w:p w14:paraId="447BE152" w14:textId="77777777" w:rsidR="00831125" w:rsidRDefault="00831125" w:rsidP="00595CC2">
      <w:pPr>
        <w:tabs>
          <w:tab w:val="left" w:pos="360"/>
        </w:tabs>
      </w:pPr>
    </w:p>
    <w:p w14:paraId="5F7FDD2E" w14:textId="77777777" w:rsidR="00831125" w:rsidRDefault="00AE4138" w:rsidP="00AE4138">
      <w:pPr>
        <w:tabs>
          <w:tab w:val="left" w:pos="360"/>
        </w:tabs>
      </w:pPr>
      <w:r>
        <w:tab/>
      </w:r>
      <w:r w:rsidR="00595CC2">
        <w:t xml:space="preserve">3. The Hospital will make a reasonable attempt to collect deductibles and copayments from all patients. </w:t>
      </w:r>
    </w:p>
    <w:p w14:paraId="4755181C" w14:textId="77777777" w:rsidR="00AE4138" w:rsidRDefault="00AE4138" w:rsidP="00AE4138">
      <w:pPr>
        <w:tabs>
          <w:tab w:val="left" w:pos="360"/>
        </w:tabs>
      </w:pPr>
    </w:p>
    <w:p w14:paraId="268AC151" w14:textId="00DC5CB8" w:rsidR="00D25E8C" w:rsidRDefault="00AE4138" w:rsidP="00AE4138">
      <w:pPr>
        <w:tabs>
          <w:tab w:val="left" w:pos="360"/>
        </w:tabs>
      </w:pPr>
      <w:r>
        <w:tab/>
        <w:t xml:space="preserve">4. </w:t>
      </w:r>
      <w:r w:rsidR="00595CC2">
        <w:t xml:space="preserve">Business </w:t>
      </w:r>
      <w:r w:rsidR="00FA7F83">
        <w:t>Office Representative</w:t>
      </w:r>
      <w:r w:rsidR="00595CC2">
        <w:t xml:space="preserve"> will track claim denials on a r</w:t>
      </w:r>
      <w:r w:rsidR="00D25E8C">
        <w:t xml:space="preserve">eport and submit monthly to the </w:t>
      </w:r>
    </w:p>
    <w:p w14:paraId="3426FD6B" w14:textId="4CAD05FC" w:rsidR="00831125" w:rsidRDefault="00831125" w:rsidP="00AE4138">
      <w:pPr>
        <w:tabs>
          <w:tab w:val="left" w:pos="360"/>
        </w:tabs>
        <w:ind w:left="360"/>
      </w:pPr>
      <w:r>
        <w:t>Business Office Director</w:t>
      </w:r>
      <w:r w:rsidR="00595CC2">
        <w:t>. Denials will be sorted by reason, biller, and department. Supporting documentation will be give</w:t>
      </w:r>
      <w:r>
        <w:t>n to the Business Office Director</w:t>
      </w:r>
      <w:r w:rsidR="00595CC2">
        <w:t xml:space="preserve">. The Business Office </w:t>
      </w:r>
      <w:r>
        <w:t>Director</w:t>
      </w:r>
      <w:r w:rsidR="00595CC2">
        <w:t xml:space="preserve"> will review </w:t>
      </w:r>
      <w:r w:rsidR="00FA7F83">
        <w:t xml:space="preserve">denials </w:t>
      </w:r>
      <w:r w:rsidR="00595CC2">
        <w:t>prior to write-off.</w:t>
      </w:r>
    </w:p>
    <w:p w14:paraId="56D4C62A" w14:textId="77777777" w:rsidR="00831125" w:rsidRDefault="00831125" w:rsidP="00831125">
      <w:pPr>
        <w:tabs>
          <w:tab w:val="left" w:pos="360"/>
        </w:tabs>
        <w:ind w:left="720"/>
      </w:pPr>
    </w:p>
    <w:p w14:paraId="3BC3205C" w14:textId="2647466D" w:rsidR="00831125" w:rsidRPr="00D25E8C" w:rsidRDefault="00595CC2" w:rsidP="00831125">
      <w:pPr>
        <w:tabs>
          <w:tab w:val="left" w:pos="360"/>
        </w:tabs>
        <w:rPr>
          <w:sz w:val="20"/>
        </w:rPr>
      </w:pPr>
      <w:r w:rsidRPr="00831125">
        <w:rPr>
          <w:sz w:val="20"/>
        </w:rPr>
        <w:t xml:space="preserve"> Note: Any special deviations from this procedure should be brought to the attention of the Business Office </w:t>
      </w:r>
      <w:r w:rsidR="00FA7F83">
        <w:rPr>
          <w:sz w:val="20"/>
        </w:rPr>
        <w:t>Director</w:t>
      </w:r>
      <w:r w:rsidRPr="00831125">
        <w:rPr>
          <w:sz w:val="20"/>
        </w:rPr>
        <w:t>, Chief Financial Officer, or Chief Executive Officer.</w:t>
      </w:r>
    </w:p>
    <w:p w14:paraId="47BD40DD" w14:textId="77777777" w:rsidR="00913704" w:rsidRPr="00A711A2" w:rsidRDefault="00913704" w:rsidP="00D25E8C">
      <w:pPr>
        <w:rPr>
          <w:sz w:val="20"/>
        </w:rPr>
      </w:pPr>
    </w:p>
    <w:p w14:paraId="426E3726" w14:textId="77777777" w:rsidR="00913704" w:rsidRPr="00A711A2" w:rsidRDefault="00913704" w:rsidP="00A711A2">
      <w:pPr>
        <w:ind w:left="-90"/>
        <w:rPr>
          <w:b/>
          <w:sz w:val="20"/>
        </w:rPr>
      </w:pPr>
      <w:r w:rsidRPr="00A711A2">
        <w:rPr>
          <w:b/>
          <w:sz w:val="20"/>
        </w:rPr>
        <w:t>ATTACHMENT (S)</w:t>
      </w:r>
    </w:p>
    <w:p w14:paraId="194696FB" w14:textId="780C62C0" w:rsidR="00913704" w:rsidRDefault="00FA7F83" w:rsidP="00A711A2">
      <w:pPr>
        <w:numPr>
          <w:ilvl w:val="0"/>
          <w:numId w:val="1"/>
        </w:numPr>
        <w:tabs>
          <w:tab w:val="clear" w:pos="360"/>
          <w:tab w:val="num" w:pos="720"/>
        </w:tabs>
        <w:ind w:left="720"/>
        <w:rPr>
          <w:sz w:val="20"/>
        </w:rPr>
      </w:pPr>
      <w:r>
        <w:rPr>
          <w:sz w:val="20"/>
        </w:rPr>
        <w:t>None</w:t>
      </w:r>
    </w:p>
    <w:p w14:paraId="672C04D8" w14:textId="77777777" w:rsidR="00913704" w:rsidRPr="00A711A2" w:rsidRDefault="00913704" w:rsidP="00A711A2">
      <w:pPr>
        <w:ind w:left="-90"/>
        <w:rPr>
          <w:sz w:val="20"/>
        </w:rPr>
      </w:pPr>
    </w:p>
    <w:p w14:paraId="1EC2C171" w14:textId="77777777" w:rsidR="00913704" w:rsidRPr="00A711A2" w:rsidRDefault="00913704" w:rsidP="00A711A2">
      <w:pPr>
        <w:ind w:left="-90"/>
        <w:rPr>
          <w:sz w:val="20"/>
        </w:rPr>
      </w:pPr>
      <w:r w:rsidRPr="00A711A2">
        <w:rPr>
          <w:b/>
          <w:sz w:val="20"/>
        </w:rPr>
        <w:t>REFERENCE (S)</w:t>
      </w:r>
      <w:r w:rsidRPr="00A711A2">
        <w:rPr>
          <w:sz w:val="20"/>
        </w:rPr>
        <w:tab/>
      </w:r>
    </w:p>
    <w:p w14:paraId="3083BFE7" w14:textId="77777777" w:rsidR="00913704" w:rsidRPr="00A711A2" w:rsidRDefault="00913704" w:rsidP="00A711A2">
      <w:pPr>
        <w:numPr>
          <w:ilvl w:val="0"/>
          <w:numId w:val="2"/>
        </w:numPr>
        <w:tabs>
          <w:tab w:val="clear" w:pos="360"/>
          <w:tab w:val="num" w:pos="720"/>
        </w:tabs>
        <w:ind w:left="720"/>
        <w:rPr>
          <w:sz w:val="20"/>
        </w:rPr>
      </w:pPr>
      <w:r w:rsidRPr="00A711A2">
        <w:rPr>
          <w:sz w:val="20"/>
        </w:rPr>
        <w:t>None</w:t>
      </w:r>
    </w:p>
    <w:p w14:paraId="4965CF11" w14:textId="77777777" w:rsidR="00913704" w:rsidRDefault="00913704" w:rsidP="00A711A2">
      <w:pPr>
        <w:ind w:left="-90"/>
        <w:rPr>
          <w:sz w:val="20"/>
        </w:rPr>
      </w:pPr>
    </w:p>
    <w:p w14:paraId="61C5AA52" w14:textId="77777777" w:rsidR="000D7E5B" w:rsidRDefault="000D7E5B" w:rsidP="00A711A2">
      <w:pPr>
        <w:ind w:left="-90"/>
        <w:rPr>
          <w:sz w:val="20"/>
        </w:rPr>
      </w:pPr>
    </w:p>
    <w:p w14:paraId="7724023F" w14:textId="77777777" w:rsidR="000D7E5B" w:rsidRDefault="000D7E5B" w:rsidP="00A711A2">
      <w:pPr>
        <w:ind w:left="-90"/>
        <w:rPr>
          <w:sz w:val="20"/>
        </w:rPr>
      </w:pPr>
    </w:p>
    <w:p w14:paraId="3B7731C2" w14:textId="77777777" w:rsidR="000D7E5B" w:rsidRDefault="000D7E5B" w:rsidP="00A711A2">
      <w:pPr>
        <w:ind w:left="-90"/>
        <w:rPr>
          <w:sz w:val="20"/>
        </w:rPr>
      </w:pPr>
    </w:p>
    <w:p w14:paraId="66BCB784" w14:textId="77777777" w:rsidR="000D7E5B" w:rsidRDefault="000D7E5B" w:rsidP="00A711A2">
      <w:pPr>
        <w:ind w:left="-90"/>
        <w:rPr>
          <w:sz w:val="20"/>
        </w:rPr>
      </w:pPr>
    </w:p>
    <w:p w14:paraId="70D92D33" w14:textId="77777777" w:rsidR="000D7E5B" w:rsidRPr="00A711A2" w:rsidRDefault="000D7E5B" w:rsidP="00A711A2">
      <w:pPr>
        <w:ind w:left="-9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314"/>
        <w:gridCol w:w="270"/>
        <w:gridCol w:w="1584"/>
        <w:gridCol w:w="1584"/>
        <w:gridCol w:w="1584"/>
        <w:gridCol w:w="1584"/>
      </w:tblGrid>
      <w:tr w:rsidR="00913704" w:rsidRPr="00913704" w14:paraId="3A85DFD8" w14:textId="77777777" w:rsidTr="00913704">
        <w:trPr>
          <w:cantSplit/>
        </w:trPr>
        <w:tc>
          <w:tcPr>
            <w:tcW w:w="2952" w:type="dxa"/>
            <w:gridSpan w:val="2"/>
          </w:tcPr>
          <w:p w14:paraId="56A7ED18" w14:textId="77777777" w:rsidR="00913704" w:rsidRPr="00913704" w:rsidRDefault="00913704" w:rsidP="0049478C">
            <w:pPr>
              <w:rPr>
                <w:b/>
                <w:sz w:val="20"/>
              </w:rPr>
            </w:pPr>
            <w:r w:rsidRPr="00913704">
              <w:rPr>
                <w:b/>
                <w:sz w:val="20"/>
              </w:rPr>
              <w:t>Original Effective Date:</w:t>
            </w:r>
          </w:p>
        </w:tc>
        <w:tc>
          <w:tcPr>
            <w:tcW w:w="6606" w:type="dxa"/>
            <w:gridSpan w:val="5"/>
          </w:tcPr>
          <w:p w14:paraId="033F9D65" w14:textId="77777777" w:rsidR="00913704" w:rsidRPr="00913704" w:rsidRDefault="00AD1320" w:rsidP="0049478C">
            <w:pPr>
              <w:rPr>
                <w:sz w:val="20"/>
              </w:rPr>
            </w:pPr>
            <w:r>
              <w:rPr>
                <w:sz w:val="20"/>
              </w:rPr>
              <w:t>5/4</w:t>
            </w:r>
            <w:r w:rsidR="000D7E5B">
              <w:rPr>
                <w:sz w:val="20"/>
              </w:rPr>
              <w:t>/2017</w:t>
            </w:r>
          </w:p>
        </w:tc>
      </w:tr>
      <w:tr w:rsidR="00913704" w:rsidRPr="00913704" w14:paraId="574254A7" w14:textId="77777777" w:rsidTr="00913704">
        <w:trPr>
          <w:cantSplit/>
        </w:trPr>
        <w:tc>
          <w:tcPr>
            <w:tcW w:w="9558" w:type="dxa"/>
            <w:gridSpan w:val="7"/>
          </w:tcPr>
          <w:p w14:paraId="3CE92522" w14:textId="77777777" w:rsidR="00913704" w:rsidRPr="00913704" w:rsidRDefault="00913704" w:rsidP="0049478C">
            <w:pPr>
              <w:jc w:val="center"/>
              <w:rPr>
                <w:b/>
                <w:sz w:val="20"/>
              </w:rPr>
            </w:pPr>
            <w:r w:rsidRPr="00913704">
              <w:rPr>
                <w:b/>
                <w:sz w:val="20"/>
              </w:rPr>
              <w:t>Reviewed and/or Revised Dates</w:t>
            </w:r>
          </w:p>
        </w:tc>
      </w:tr>
      <w:tr w:rsidR="00913704" w:rsidRPr="00913704" w14:paraId="7CE3CE3B" w14:textId="77777777" w:rsidTr="00913704">
        <w:tc>
          <w:tcPr>
            <w:tcW w:w="1638" w:type="dxa"/>
          </w:tcPr>
          <w:p w14:paraId="26B67990" w14:textId="77777777" w:rsidR="00913704" w:rsidRPr="00913704" w:rsidRDefault="00913704" w:rsidP="0049478C">
            <w:pPr>
              <w:rPr>
                <w:sz w:val="20"/>
              </w:rPr>
            </w:pPr>
          </w:p>
        </w:tc>
        <w:tc>
          <w:tcPr>
            <w:tcW w:w="1584" w:type="dxa"/>
            <w:gridSpan w:val="2"/>
          </w:tcPr>
          <w:p w14:paraId="41625C8F" w14:textId="77777777" w:rsidR="00913704" w:rsidRPr="00913704" w:rsidRDefault="00913704" w:rsidP="0049478C">
            <w:pPr>
              <w:jc w:val="center"/>
              <w:rPr>
                <w:b/>
                <w:sz w:val="20"/>
              </w:rPr>
            </w:pPr>
            <w:r w:rsidRPr="00913704">
              <w:rPr>
                <w:b/>
                <w:sz w:val="20"/>
              </w:rPr>
              <w:t>1</w:t>
            </w:r>
            <w:r w:rsidRPr="00913704">
              <w:rPr>
                <w:b/>
                <w:sz w:val="20"/>
                <w:vertAlign w:val="superscript"/>
              </w:rPr>
              <w:t>st</w:t>
            </w:r>
          </w:p>
        </w:tc>
        <w:tc>
          <w:tcPr>
            <w:tcW w:w="1584" w:type="dxa"/>
          </w:tcPr>
          <w:p w14:paraId="7585AC38" w14:textId="77777777" w:rsidR="00913704" w:rsidRPr="00913704" w:rsidRDefault="00913704" w:rsidP="0049478C">
            <w:pPr>
              <w:jc w:val="center"/>
              <w:rPr>
                <w:b/>
                <w:sz w:val="20"/>
              </w:rPr>
            </w:pPr>
            <w:r w:rsidRPr="00913704">
              <w:rPr>
                <w:b/>
                <w:sz w:val="20"/>
              </w:rPr>
              <w:t>2</w:t>
            </w:r>
            <w:r w:rsidRPr="00913704">
              <w:rPr>
                <w:b/>
                <w:sz w:val="20"/>
                <w:vertAlign w:val="superscript"/>
              </w:rPr>
              <w:t>nd</w:t>
            </w:r>
          </w:p>
        </w:tc>
        <w:tc>
          <w:tcPr>
            <w:tcW w:w="1584" w:type="dxa"/>
          </w:tcPr>
          <w:p w14:paraId="242CCB1E" w14:textId="77777777" w:rsidR="00913704" w:rsidRPr="00913704" w:rsidRDefault="00913704" w:rsidP="0049478C">
            <w:pPr>
              <w:jc w:val="center"/>
              <w:rPr>
                <w:b/>
                <w:sz w:val="20"/>
              </w:rPr>
            </w:pPr>
            <w:r w:rsidRPr="00913704">
              <w:rPr>
                <w:b/>
                <w:sz w:val="20"/>
              </w:rPr>
              <w:t>3</w:t>
            </w:r>
            <w:r w:rsidRPr="00913704">
              <w:rPr>
                <w:b/>
                <w:sz w:val="20"/>
                <w:vertAlign w:val="superscript"/>
              </w:rPr>
              <w:t>rd</w:t>
            </w:r>
          </w:p>
        </w:tc>
        <w:tc>
          <w:tcPr>
            <w:tcW w:w="1584" w:type="dxa"/>
          </w:tcPr>
          <w:p w14:paraId="65791197" w14:textId="77777777" w:rsidR="00913704" w:rsidRPr="00913704" w:rsidRDefault="00913704" w:rsidP="0049478C">
            <w:pPr>
              <w:jc w:val="center"/>
              <w:rPr>
                <w:b/>
                <w:sz w:val="20"/>
              </w:rPr>
            </w:pPr>
            <w:r w:rsidRPr="00913704">
              <w:rPr>
                <w:b/>
                <w:sz w:val="20"/>
              </w:rPr>
              <w:t>4</w:t>
            </w:r>
            <w:r w:rsidRPr="00913704">
              <w:rPr>
                <w:b/>
                <w:sz w:val="20"/>
                <w:vertAlign w:val="superscript"/>
              </w:rPr>
              <w:t>th</w:t>
            </w:r>
          </w:p>
        </w:tc>
        <w:tc>
          <w:tcPr>
            <w:tcW w:w="1584" w:type="dxa"/>
          </w:tcPr>
          <w:p w14:paraId="70A4C9EF" w14:textId="77777777" w:rsidR="00913704" w:rsidRPr="00913704" w:rsidRDefault="00913704" w:rsidP="0049478C">
            <w:pPr>
              <w:jc w:val="center"/>
              <w:rPr>
                <w:b/>
                <w:sz w:val="20"/>
              </w:rPr>
            </w:pPr>
            <w:r w:rsidRPr="00913704">
              <w:rPr>
                <w:b/>
                <w:sz w:val="20"/>
              </w:rPr>
              <w:t>5</w:t>
            </w:r>
            <w:r w:rsidRPr="00913704">
              <w:rPr>
                <w:b/>
                <w:sz w:val="20"/>
                <w:vertAlign w:val="superscript"/>
              </w:rPr>
              <w:t>th</w:t>
            </w:r>
          </w:p>
        </w:tc>
      </w:tr>
      <w:tr w:rsidR="00913704" w:rsidRPr="00913704" w14:paraId="4F49A80A" w14:textId="77777777" w:rsidTr="00913704">
        <w:tc>
          <w:tcPr>
            <w:tcW w:w="1638" w:type="dxa"/>
          </w:tcPr>
          <w:p w14:paraId="4A6BA9BD" w14:textId="77777777" w:rsidR="00913704" w:rsidRPr="00913704" w:rsidRDefault="00913704" w:rsidP="0049478C">
            <w:pPr>
              <w:rPr>
                <w:b/>
                <w:sz w:val="20"/>
              </w:rPr>
            </w:pPr>
            <w:r w:rsidRPr="00913704">
              <w:rPr>
                <w:b/>
                <w:sz w:val="20"/>
              </w:rPr>
              <w:t>Review Date:</w:t>
            </w:r>
          </w:p>
        </w:tc>
        <w:tc>
          <w:tcPr>
            <w:tcW w:w="1584" w:type="dxa"/>
            <w:gridSpan w:val="2"/>
          </w:tcPr>
          <w:p w14:paraId="1F5B9EB0" w14:textId="5C999AA3" w:rsidR="00913704" w:rsidRPr="00913704" w:rsidRDefault="00FA7F83" w:rsidP="00913704">
            <w:pPr>
              <w:rPr>
                <w:sz w:val="20"/>
              </w:rPr>
            </w:pPr>
            <w:r>
              <w:rPr>
                <w:sz w:val="20"/>
              </w:rPr>
              <w:t>1/16/2019</w:t>
            </w:r>
          </w:p>
        </w:tc>
        <w:tc>
          <w:tcPr>
            <w:tcW w:w="1584" w:type="dxa"/>
          </w:tcPr>
          <w:p w14:paraId="18E3966A" w14:textId="77777777" w:rsidR="00913704" w:rsidRPr="00913704" w:rsidRDefault="00913704" w:rsidP="00913704">
            <w:pPr>
              <w:rPr>
                <w:sz w:val="20"/>
              </w:rPr>
            </w:pPr>
          </w:p>
        </w:tc>
        <w:tc>
          <w:tcPr>
            <w:tcW w:w="1584" w:type="dxa"/>
          </w:tcPr>
          <w:p w14:paraId="6E0E1721" w14:textId="77777777" w:rsidR="00913704" w:rsidRPr="00913704" w:rsidRDefault="00913704" w:rsidP="00913704">
            <w:pPr>
              <w:rPr>
                <w:sz w:val="20"/>
              </w:rPr>
            </w:pPr>
          </w:p>
        </w:tc>
        <w:tc>
          <w:tcPr>
            <w:tcW w:w="1584" w:type="dxa"/>
          </w:tcPr>
          <w:p w14:paraId="2D9A36CA" w14:textId="77777777" w:rsidR="00913704" w:rsidRPr="00913704" w:rsidRDefault="00913704" w:rsidP="00913704">
            <w:pPr>
              <w:rPr>
                <w:sz w:val="20"/>
              </w:rPr>
            </w:pPr>
          </w:p>
        </w:tc>
        <w:tc>
          <w:tcPr>
            <w:tcW w:w="1584" w:type="dxa"/>
          </w:tcPr>
          <w:p w14:paraId="1034A925" w14:textId="77777777" w:rsidR="00913704" w:rsidRPr="00913704" w:rsidRDefault="00913704" w:rsidP="00913704">
            <w:pPr>
              <w:rPr>
                <w:sz w:val="20"/>
              </w:rPr>
            </w:pPr>
          </w:p>
        </w:tc>
      </w:tr>
      <w:tr w:rsidR="00913704" w:rsidRPr="00913704" w14:paraId="4D6E4B74" w14:textId="77777777" w:rsidTr="00913704">
        <w:tc>
          <w:tcPr>
            <w:tcW w:w="1638" w:type="dxa"/>
          </w:tcPr>
          <w:p w14:paraId="57C058EE" w14:textId="77777777" w:rsidR="00913704" w:rsidRPr="00913704" w:rsidRDefault="00913704" w:rsidP="0049478C">
            <w:pPr>
              <w:rPr>
                <w:b/>
                <w:sz w:val="20"/>
              </w:rPr>
            </w:pPr>
            <w:r w:rsidRPr="00913704">
              <w:rPr>
                <w:b/>
                <w:sz w:val="20"/>
              </w:rPr>
              <w:t>Revised Date:</w:t>
            </w:r>
          </w:p>
        </w:tc>
        <w:tc>
          <w:tcPr>
            <w:tcW w:w="1584" w:type="dxa"/>
            <w:gridSpan w:val="2"/>
          </w:tcPr>
          <w:p w14:paraId="09207F60" w14:textId="0B090C8B" w:rsidR="00913704" w:rsidRPr="00913704" w:rsidRDefault="00EA6DE7" w:rsidP="00913704">
            <w:pPr>
              <w:rPr>
                <w:sz w:val="20"/>
              </w:rPr>
            </w:pPr>
            <w:r>
              <w:rPr>
                <w:sz w:val="20"/>
              </w:rPr>
              <w:t>1/23/19</w:t>
            </w:r>
          </w:p>
        </w:tc>
        <w:tc>
          <w:tcPr>
            <w:tcW w:w="1584" w:type="dxa"/>
          </w:tcPr>
          <w:p w14:paraId="3EC34258" w14:textId="77777777" w:rsidR="00913704" w:rsidRPr="00913704" w:rsidRDefault="00913704" w:rsidP="00913704">
            <w:pPr>
              <w:rPr>
                <w:sz w:val="20"/>
              </w:rPr>
            </w:pPr>
          </w:p>
        </w:tc>
        <w:tc>
          <w:tcPr>
            <w:tcW w:w="1584" w:type="dxa"/>
          </w:tcPr>
          <w:p w14:paraId="63D4F3D9" w14:textId="77777777" w:rsidR="00913704" w:rsidRPr="00913704" w:rsidRDefault="00913704" w:rsidP="00913704">
            <w:pPr>
              <w:rPr>
                <w:sz w:val="20"/>
              </w:rPr>
            </w:pPr>
          </w:p>
        </w:tc>
        <w:tc>
          <w:tcPr>
            <w:tcW w:w="1584" w:type="dxa"/>
          </w:tcPr>
          <w:p w14:paraId="7B9BA96A" w14:textId="77777777" w:rsidR="00913704" w:rsidRPr="00913704" w:rsidRDefault="00913704" w:rsidP="00913704">
            <w:pPr>
              <w:rPr>
                <w:sz w:val="20"/>
              </w:rPr>
            </w:pPr>
          </w:p>
        </w:tc>
        <w:tc>
          <w:tcPr>
            <w:tcW w:w="1584" w:type="dxa"/>
          </w:tcPr>
          <w:p w14:paraId="1DBF42B1" w14:textId="77777777" w:rsidR="00913704" w:rsidRPr="00913704" w:rsidRDefault="00913704" w:rsidP="00913704">
            <w:pPr>
              <w:rPr>
                <w:sz w:val="20"/>
              </w:rPr>
            </w:pPr>
          </w:p>
        </w:tc>
      </w:tr>
      <w:tr w:rsidR="00913704" w:rsidRPr="00913704" w14:paraId="1FCE496F" w14:textId="77777777" w:rsidTr="00913704">
        <w:tc>
          <w:tcPr>
            <w:tcW w:w="1638" w:type="dxa"/>
          </w:tcPr>
          <w:p w14:paraId="1B51821A" w14:textId="77777777" w:rsidR="00913704" w:rsidRPr="00913704" w:rsidRDefault="00913704" w:rsidP="0049478C">
            <w:pPr>
              <w:rPr>
                <w:b/>
                <w:sz w:val="20"/>
              </w:rPr>
            </w:pPr>
            <w:r w:rsidRPr="00913704">
              <w:rPr>
                <w:b/>
                <w:sz w:val="20"/>
              </w:rPr>
              <w:t>Supersedes:</w:t>
            </w:r>
          </w:p>
        </w:tc>
        <w:tc>
          <w:tcPr>
            <w:tcW w:w="1584" w:type="dxa"/>
            <w:gridSpan w:val="2"/>
          </w:tcPr>
          <w:p w14:paraId="20F8D492" w14:textId="7E40E7A7" w:rsidR="00913704" w:rsidRPr="00913704" w:rsidRDefault="00FA7F83" w:rsidP="00913704">
            <w:pPr>
              <w:rPr>
                <w:sz w:val="20"/>
              </w:rPr>
            </w:pPr>
            <w:r>
              <w:rPr>
                <w:sz w:val="20"/>
              </w:rPr>
              <w:t>5/4/2017</w:t>
            </w:r>
          </w:p>
        </w:tc>
        <w:tc>
          <w:tcPr>
            <w:tcW w:w="1584" w:type="dxa"/>
          </w:tcPr>
          <w:p w14:paraId="04FFB691" w14:textId="77777777" w:rsidR="00913704" w:rsidRPr="00913704" w:rsidRDefault="00913704" w:rsidP="00913704">
            <w:pPr>
              <w:rPr>
                <w:sz w:val="20"/>
              </w:rPr>
            </w:pPr>
          </w:p>
        </w:tc>
        <w:tc>
          <w:tcPr>
            <w:tcW w:w="1584" w:type="dxa"/>
          </w:tcPr>
          <w:p w14:paraId="610B7DC3" w14:textId="77777777" w:rsidR="00913704" w:rsidRPr="00913704" w:rsidRDefault="00913704" w:rsidP="00913704">
            <w:pPr>
              <w:rPr>
                <w:sz w:val="20"/>
              </w:rPr>
            </w:pPr>
          </w:p>
        </w:tc>
        <w:tc>
          <w:tcPr>
            <w:tcW w:w="1584" w:type="dxa"/>
          </w:tcPr>
          <w:p w14:paraId="10E49EAC" w14:textId="77777777" w:rsidR="00913704" w:rsidRPr="00913704" w:rsidRDefault="00913704" w:rsidP="00913704">
            <w:pPr>
              <w:rPr>
                <w:sz w:val="20"/>
              </w:rPr>
            </w:pPr>
          </w:p>
        </w:tc>
        <w:tc>
          <w:tcPr>
            <w:tcW w:w="1584" w:type="dxa"/>
          </w:tcPr>
          <w:p w14:paraId="2DA7F77D" w14:textId="77777777" w:rsidR="00913704" w:rsidRPr="00913704" w:rsidRDefault="00913704" w:rsidP="00913704">
            <w:pPr>
              <w:rPr>
                <w:sz w:val="20"/>
              </w:rPr>
            </w:pPr>
          </w:p>
        </w:tc>
      </w:tr>
      <w:tr w:rsidR="00913704" w:rsidRPr="00913704" w14:paraId="520E0AA7" w14:textId="77777777" w:rsidTr="00913704">
        <w:tc>
          <w:tcPr>
            <w:tcW w:w="1638" w:type="dxa"/>
          </w:tcPr>
          <w:p w14:paraId="47E3E4B1" w14:textId="77777777" w:rsidR="00913704" w:rsidRPr="00913704" w:rsidRDefault="00913704" w:rsidP="0049478C">
            <w:pPr>
              <w:rPr>
                <w:b/>
                <w:sz w:val="20"/>
              </w:rPr>
            </w:pPr>
            <w:r w:rsidRPr="00913704">
              <w:rPr>
                <w:b/>
                <w:sz w:val="20"/>
              </w:rPr>
              <w:t>By:</w:t>
            </w:r>
          </w:p>
        </w:tc>
        <w:tc>
          <w:tcPr>
            <w:tcW w:w="1584" w:type="dxa"/>
            <w:gridSpan w:val="2"/>
          </w:tcPr>
          <w:p w14:paraId="0CC92B14" w14:textId="0A355382" w:rsidR="00913704" w:rsidRPr="00913704" w:rsidRDefault="00FA7F83" w:rsidP="00913704">
            <w:pPr>
              <w:rPr>
                <w:sz w:val="20"/>
              </w:rPr>
            </w:pPr>
            <w:r>
              <w:rPr>
                <w:sz w:val="20"/>
              </w:rPr>
              <w:t>M. Prante</w:t>
            </w:r>
          </w:p>
        </w:tc>
        <w:tc>
          <w:tcPr>
            <w:tcW w:w="1584" w:type="dxa"/>
          </w:tcPr>
          <w:p w14:paraId="1C864A67" w14:textId="77777777" w:rsidR="00913704" w:rsidRPr="00913704" w:rsidRDefault="00913704" w:rsidP="00913704">
            <w:pPr>
              <w:rPr>
                <w:sz w:val="20"/>
              </w:rPr>
            </w:pPr>
          </w:p>
        </w:tc>
        <w:tc>
          <w:tcPr>
            <w:tcW w:w="1584" w:type="dxa"/>
          </w:tcPr>
          <w:p w14:paraId="66E1045E" w14:textId="77777777" w:rsidR="00913704" w:rsidRPr="00913704" w:rsidRDefault="00913704" w:rsidP="00913704">
            <w:pPr>
              <w:rPr>
                <w:sz w:val="20"/>
              </w:rPr>
            </w:pPr>
          </w:p>
        </w:tc>
        <w:tc>
          <w:tcPr>
            <w:tcW w:w="1584" w:type="dxa"/>
          </w:tcPr>
          <w:p w14:paraId="617177C4" w14:textId="77777777" w:rsidR="00913704" w:rsidRPr="00913704" w:rsidRDefault="00913704" w:rsidP="00913704">
            <w:pPr>
              <w:rPr>
                <w:sz w:val="20"/>
              </w:rPr>
            </w:pPr>
          </w:p>
        </w:tc>
        <w:tc>
          <w:tcPr>
            <w:tcW w:w="1584" w:type="dxa"/>
          </w:tcPr>
          <w:p w14:paraId="590C9070" w14:textId="77777777" w:rsidR="00913704" w:rsidRPr="00913704" w:rsidRDefault="00913704" w:rsidP="00913704">
            <w:pPr>
              <w:rPr>
                <w:sz w:val="20"/>
              </w:rPr>
            </w:pPr>
          </w:p>
        </w:tc>
      </w:tr>
    </w:tbl>
    <w:p w14:paraId="7FBB8D11" w14:textId="77777777" w:rsidR="000D7E5B" w:rsidRDefault="000D7E5B" w:rsidP="00A711A2">
      <w:pPr>
        <w:ind w:left="-90"/>
        <w:rPr>
          <w:sz w:val="20"/>
        </w:rPr>
      </w:pPr>
    </w:p>
    <w:p w14:paraId="591FD4AA" w14:textId="77777777" w:rsidR="000D7E5B" w:rsidRPr="000D7E5B" w:rsidRDefault="000D7E5B" w:rsidP="000D7E5B">
      <w:pPr>
        <w:rPr>
          <w:sz w:val="20"/>
        </w:rPr>
      </w:pPr>
    </w:p>
    <w:p w14:paraId="352E519B" w14:textId="77777777" w:rsidR="000D7E5B" w:rsidRPr="000D7E5B" w:rsidRDefault="000D7E5B" w:rsidP="000D7E5B">
      <w:pPr>
        <w:rPr>
          <w:sz w:val="20"/>
        </w:rPr>
      </w:pPr>
    </w:p>
    <w:p w14:paraId="4CFD6499" w14:textId="77777777" w:rsidR="000D7E5B" w:rsidRPr="000D7E5B" w:rsidRDefault="000D7E5B" w:rsidP="000D7E5B">
      <w:pPr>
        <w:rPr>
          <w:sz w:val="20"/>
        </w:rPr>
      </w:pPr>
    </w:p>
    <w:p w14:paraId="300931C0" w14:textId="77777777" w:rsidR="000D7E5B" w:rsidRPr="000D7E5B" w:rsidRDefault="000D7E5B" w:rsidP="000D7E5B">
      <w:pPr>
        <w:rPr>
          <w:sz w:val="20"/>
        </w:rPr>
      </w:pPr>
    </w:p>
    <w:p w14:paraId="6BC6695D" w14:textId="77777777" w:rsidR="000D7E5B" w:rsidRPr="000D7E5B" w:rsidRDefault="000D7E5B" w:rsidP="000D7E5B">
      <w:pPr>
        <w:rPr>
          <w:sz w:val="20"/>
        </w:rPr>
      </w:pPr>
    </w:p>
    <w:p w14:paraId="35C51417" w14:textId="77777777" w:rsidR="000D7E5B" w:rsidRPr="000D7E5B" w:rsidRDefault="000D7E5B" w:rsidP="000D7E5B">
      <w:pPr>
        <w:rPr>
          <w:sz w:val="20"/>
        </w:rPr>
      </w:pPr>
    </w:p>
    <w:p w14:paraId="64A08135" w14:textId="77777777" w:rsidR="000D7E5B" w:rsidRPr="000D7E5B" w:rsidRDefault="000D7E5B" w:rsidP="000D7E5B">
      <w:pPr>
        <w:rPr>
          <w:sz w:val="20"/>
        </w:rPr>
      </w:pPr>
      <w:bookmarkStart w:id="0" w:name="_GoBack"/>
      <w:bookmarkEnd w:id="0"/>
    </w:p>
    <w:p w14:paraId="7C89B9B3" w14:textId="77777777" w:rsidR="000D7E5B" w:rsidRDefault="000D7E5B" w:rsidP="000D7E5B">
      <w:pPr>
        <w:rPr>
          <w:sz w:val="20"/>
        </w:rPr>
      </w:pPr>
    </w:p>
    <w:p w14:paraId="4AA5F400" w14:textId="77777777" w:rsidR="00913704" w:rsidRPr="000D7E5B" w:rsidRDefault="000D7E5B" w:rsidP="000D7E5B">
      <w:pPr>
        <w:tabs>
          <w:tab w:val="left" w:pos="7185"/>
        </w:tabs>
        <w:rPr>
          <w:sz w:val="20"/>
        </w:rPr>
      </w:pPr>
      <w:r>
        <w:rPr>
          <w:sz w:val="20"/>
        </w:rPr>
        <w:tab/>
      </w:r>
    </w:p>
    <w:sectPr w:rsidR="00913704" w:rsidRPr="000D7E5B" w:rsidSect="00D25E8C">
      <w:headerReference w:type="default" r:id="rId7"/>
      <w:foot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D4542" w14:textId="77777777" w:rsidR="00D25E8C" w:rsidRDefault="00D25E8C">
      <w:r>
        <w:separator/>
      </w:r>
    </w:p>
  </w:endnote>
  <w:endnote w:type="continuationSeparator" w:id="0">
    <w:p w14:paraId="4EB231F3" w14:textId="77777777" w:rsidR="00D25E8C" w:rsidRDefault="00D2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DC09" w14:textId="77777777" w:rsidR="00D25E8C" w:rsidRPr="00913704" w:rsidRDefault="00464C86">
    <w:pPr>
      <w:pStyle w:val="Footer"/>
      <w:rPr>
        <w:sz w:val="16"/>
      </w:rPr>
    </w:pPr>
    <w:r w:rsidRPr="00913704">
      <w:rPr>
        <w:sz w:val="16"/>
      </w:rPr>
      <w:fldChar w:fldCharType="begin"/>
    </w:r>
    <w:r w:rsidR="00D25E8C" w:rsidRPr="00913704">
      <w:rPr>
        <w:sz w:val="16"/>
      </w:rPr>
      <w:instrText xml:space="preserve"> FILENAME \p </w:instrText>
    </w:r>
    <w:r w:rsidRPr="00913704">
      <w:rPr>
        <w:sz w:val="16"/>
      </w:rPr>
      <w:fldChar w:fldCharType="separate"/>
    </w:r>
    <w:r w:rsidR="00AE4138">
      <w:rPr>
        <w:noProof/>
        <w:sz w:val="16"/>
      </w:rPr>
      <w:t>V:\Policies and Procedures\Business Office Policies\Bad Debt Policy.docx</w:t>
    </w:r>
    <w:r w:rsidRPr="00913704">
      <w:rPr>
        <w:sz w:val="16"/>
      </w:rPr>
      <w:fldChar w:fldCharType="end"/>
    </w:r>
    <w:r w:rsidR="00D25E8C">
      <w:rPr>
        <w:sz w:val="16"/>
      </w:rPr>
      <w:tab/>
    </w:r>
    <w:r w:rsidR="00D25E8C" w:rsidRPr="00913704">
      <w:rPr>
        <w:sz w:val="16"/>
      </w:rPr>
      <w:t xml:space="preserve">Page </w:t>
    </w:r>
    <w:r w:rsidRPr="00913704">
      <w:rPr>
        <w:sz w:val="16"/>
      </w:rPr>
      <w:fldChar w:fldCharType="begin"/>
    </w:r>
    <w:r w:rsidR="00D25E8C" w:rsidRPr="00913704">
      <w:rPr>
        <w:sz w:val="16"/>
      </w:rPr>
      <w:instrText xml:space="preserve"> PAGE </w:instrText>
    </w:r>
    <w:r w:rsidRPr="00913704">
      <w:rPr>
        <w:sz w:val="16"/>
      </w:rPr>
      <w:fldChar w:fldCharType="separate"/>
    </w:r>
    <w:r w:rsidR="00673284">
      <w:rPr>
        <w:noProof/>
        <w:sz w:val="16"/>
      </w:rPr>
      <w:t>2</w:t>
    </w:r>
    <w:r w:rsidRPr="00913704">
      <w:rPr>
        <w:sz w:val="16"/>
      </w:rPr>
      <w:fldChar w:fldCharType="end"/>
    </w:r>
    <w:r w:rsidR="00D25E8C" w:rsidRPr="00913704">
      <w:rPr>
        <w:sz w:val="16"/>
      </w:rPr>
      <w:t xml:space="preserve"> of </w:t>
    </w:r>
    <w:r w:rsidRPr="00913704">
      <w:rPr>
        <w:sz w:val="16"/>
      </w:rPr>
      <w:fldChar w:fldCharType="begin"/>
    </w:r>
    <w:r w:rsidR="00D25E8C" w:rsidRPr="00913704">
      <w:rPr>
        <w:sz w:val="16"/>
      </w:rPr>
      <w:instrText xml:space="preserve"> NUMPAGES </w:instrText>
    </w:r>
    <w:r w:rsidRPr="00913704">
      <w:rPr>
        <w:sz w:val="16"/>
      </w:rPr>
      <w:fldChar w:fldCharType="separate"/>
    </w:r>
    <w:r w:rsidR="00673284">
      <w:rPr>
        <w:noProof/>
        <w:sz w:val="16"/>
      </w:rPr>
      <w:t>4</w:t>
    </w:r>
    <w:r w:rsidRPr="0091370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0A6" w14:textId="77777777" w:rsidR="00D25E8C" w:rsidRPr="00913704" w:rsidRDefault="00464C86">
    <w:pPr>
      <w:pStyle w:val="Footer"/>
      <w:rPr>
        <w:sz w:val="16"/>
      </w:rPr>
    </w:pPr>
    <w:r w:rsidRPr="00913704">
      <w:rPr>
        <w:sz w:val="16"/>
      </w:rPr>
      <w:fldChar w:fldCharType="begin"/>
    </w:r>
    <w:r w:rsidR="00D25E8C" w:rsidRPr="00913704">
      <w:rPr>
        <w:sz w:val="16"/>
      </w:rPr>
      <w:instrText xml:space="preserve"> FILENAME \p </w:instrText>
    </w:r>
    <w:r w:rsidRPr="00913704">
      <w:rPr>
        <w:sz w:val="16"/>
      </w:rPr>
      <w:fldChar w:fldCharType="separate"/>
    </w:r>
    <w:r w:rsidR="00AE4138">
      <w:rPr>
        <w:noProof/>
        <w:sz w:val="16"/>
      </w:rPr>
      <w:t>V:\Policies and Procedures\Business Office Policies\Bad Debt Policy.docx</w:t>
    </w:r>
    <w:r w:rsidRPr="00913704">
      <w:rPr>
        <w:sz w:val="16"/>
      </w:rPr>
      <w:fldChar w:fldCharType="end"/>
    </w:r>
    <w:r w:rsidR="00D25E8C">
      <w:rPr>
        <w:sz w:val="16"/>
      </w:rPr>
      <w:tab/>
    </w:r>
    <w:r w:rsidR="00D25E8C">
      <w:rPr>
        <w:sz w:val="16"/>
      </w:rPr>
      <w:tab/>
    </w:r>
    <w:r w:rsidR="00D25E8C" w:rsidRPr="00913704">
      <w:rPr>
        <w:sz w:val="16"/>
      </w:rPr>
      <w:t xml:space="preserve">Page </w:t>
    </w:r>
    <w:r w:rsidRPr="00913704">
      <w:rPr>
        <w:sz w:val="16"/>
      </w:rPr>
      <w:fldChar w:fldCharType="begin"/>
    </w:r>
    <w:r w:rsidR="00D25E8C" w:rsidRPr="00913704">
      <w:rPr>
        <w:sz w:val="16"/>
      </w:rPr>
      <w:instrText xml:space="preserve"> PAGE </w:instrText>
    </w:r>
    <w:r w:rsidRPr="00913704">
      <w:rPr>
        <w:sz w:val="16"/>
      </w:rPr>
      <w:fldChar w:fldCharType="separate"/>
    </w:r>
    <w:r w:rsidR="00673284">
      <w:rPr>
        <w:noProof/>
        <w:sz w:val="16"/>
      </w:rPr>
      <w:t>1</w:t>
    </w:r>
    <w:r w:rsidRPr="00913704">
      <w:rPr>
        <w:sz w:val="16"/>
      </w:rPr>
      <w:fldChar w:fldCharType="end"/>
    </w:r>
    <w:r w:rsidR="00D25E8C" w:rsidRPr="00913704">
      <w:rPr>
        <w:sz w:val="16"/>
      </w:rPr>
      <w:t xml:space="preserve"> of </w:t>
    </w:r>
    <w:r w:rsidRPr="00913704">
      <w:rPr>
        <w:sz w:val="16"/>
      </w:rPr>
      <w:fldChar w:fldCharType="begin"/>
    </w:r>
    <w:r w:rsidR="00D25E8C" w:rsidRPr="00913704">
      <w:rPr>
        <w:sz w:val="16"/>
      </w:rPr>
      <w:instrText xml:space="preserve"> NUMPAGES </w:instrText>
    </w:r>
    <w:r w:rsidRPr="00913704">
      <w:rPr>
        <w:sz w:val="16"/>
      </w:rPr>
      <w:fldChar w:fldCharType="separate"/>
    </w:r>
    <w:r w:rsidR="00673284">
      <w:rPr>
        <w:noProof/>
        <w:sz w:val="16"/>
      </w:rPr>
      <w:t>4</w:t>
    </w:r>
    <w:r w:rsidRPr="0091370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7419" w14:textId="77777777" w:rsidR="00D25E8C" w:rsidRDefault="00D25E8C">
      <w:r>
        <w:separator/>
      </w:r>
    </w:p>
  </w:footnote>
  <w:footnote w:type="continuationSeparator" w:id="0">
    <w:p w14:paraId="02444FE6" w14:textId="77777777" w:rsidR="00D25E8C" w:rsidRDefault="00D2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410"/>
      <w:gridCol w:w="1350"/>
      <w:gridCol w:w="1620"/>
    </w:tblGrid>
    <w:tr w:rsidR="00D25E8C" w:rsidRPr="008B14E9" w14:paraId="3AE4DAE9" w14:textId="77777777" w:rsidTr="00913704">
      <w:tc>
        <w:tcPr>
          <w:tcW w:w="2178" w:type="dxa"/>
          <w:tcBorders>
            <w:top w:val="double" w:sz="4" w:space="0" w:color="auto"/>
            <w:left w:val="double" w:sz="4" w:space="0" w:color="auto"/>
            <w:bottom w:val="single" w:sz="4" w:space="0" w:color="auto"/>
          </w:tcBorders>
          <w:shd w:val="pct5" w:color="000000" w:fill="FFFFFF"/>
        </w:tcPr>
        <w:p w14:paraId="35830249" w14:textId="77777777" w:rsidR="00D25E8C" w:rsidRPr="008B14E9" w:rsidRDefault="00D25E8C" w:rsidP="00913704">
          <w:pPr>
            <w:spacing w:before="60" w:after="60"/>
            <w:rPr>
              <w:b/>
              <w:sz w:val="20"/>
            </w:rPr>
          </w:pPr>
          <w:r w:rsidRPr="008B14E9">
            <w:rPr>
              <w:b/>
              <w:sz w:val="20"/>
            </w:rPr>
            <w:t>Policy/Procedure Title</w:t>
          </w:r>
        </w:p>
      </w:tc>
      <w:tc>
        <w:tcPr>
          <w:tcW w:w="4410" w:type="dxa"/>
          <w:tcBorders>
            <w:top w:val="double" w:sz="4" w:space="0" w:color="auto"/>
            <w:bottom w:val="single" w:sz="4" w:space="0" w:color="auto"/>
            <w:right w:val="single" w:sz="4" w:space="0" w:color="auto"/>
          </w:tcBorders>
        </w:tcPr>
        <w:p w14:paraId="7DFB6A5B" w14:textId="3DBAEF0C" w:rsidR="00D25E8C" w:rsidRPr="008B14E9" w:rsidRDefault="00862BA6" w:rsidP="00913704">
          <w:pPr>
            <w:spacing w:before="60" w:after="60"/>
            <w:rPr>
              <w:sz w:val="20"/>
            </w:rPr>
          </w:pPr>
          <w:r>
            <w:rPr>
              <w:sz w:val="20"/>
            </w:rPr>
            <w:t>BAD DEBT POLICY AND PROCEDURE</w:t>
          </w:r>
        </w:p>
      </w:tc>
      <w:tc>
        <w:tcPr>
          <w:tcW w:w="1350" w:type="dxa"/>
          <w:tcBorders>
            <w:top w:val="double" w:sz="4" w:space="0" w:color="auto"/>
            <w:left w:val="nil"/>
            <w:bottom w:val="single" w:sz="4" w:space="0" w:color="auto"/>
            <w:right w:val="single" w:sz="4" w:space="0" w:color="auto"/>
          </w:tcBorders>
          <w:shd w:val="pct5" w:color="000000" w:fill="FFFFFF"/>
        </w:tcPr>
        <w:p w14:paraId="312C1BF9" w14:textId="77777777" w:rsidR="00D25E8C" w:rsidRPr="008B14E9" w:rsidRDefault="00D25E8C" w:rsidP="00913704">
          <w:pPr>
            <w:spacing w:before="60" w:after="60"/>
            <w:rPr>
              <w:b/>
              <w:sz w:val="20"/>
            </w:rPr>
          </w:pPr>
          <w:r w:rsidRPr="008B14E9">
            <w:rPr>
              <w:b/>
              <w:sz w:val="20"/>
            </w:rPr>
            <w:t>Policy #</w:t>
          </w:r>
        </w:p>
      </w:tc>
      <w:tc>
        <w:tcPr>
          <w:tcW w:w="1620" w:type="dxa"/>
          <w:tcBorders>
            <w:top w:val="double" w:sz="4" w:space="0" w:color="auto"/>
            <w:left w:val="nil"/>
            <w:bottom w:val="single" w:sz="4" w:space="0" w:color="auto"/>
            <w:right w:val="double" w:sz="4" w:space="0" w:color="auto"/>
          </w:tcBorders>
        </w:tcPr>
        <w:p w14:paraId="0439DD21" w14:textId="77777777" w:rsidR="00D25E8C" w:rsidRPr="008B14E9" w:rsidRDefault="00D25E8C" w:rsidP="00913704">
          <w:pPr>
            <w:spacing w:before="60" w:after="60"/>
            <w:rPr>
              <w:sz w:val="20"/>
            </w:rPr>
          </w:pPr>
        </w:p>
      </w:tc>
    </w:tr>
    <w:tr w:rsidR="00D25E8C" w:rsidRPr="008B14E9" w14:paraId="7E0BE697" w14:textId="77777777" w:rsidTr="00913704">
      <w:tc>
        <w:tcPr>
          <w:tcW w:w="2178" w:type="dxa"/>
          <w:tcBorders>
            <w:top w:val="single" w:sz="4" w:space="0" w:color="auto"/>
            <w:left w:val="double" w:sz="4" w:space="0" w:color="auto"/>
            <w:bottom w:val="double" w:sz="4" w:space="0" w:color="auto"/>
          </w:tcBorders>
          <w:shd w:val="pct5" w:color="000000" w:fill="FFFFFF"/>
        </w:tcPr>
        <w:p w14:paraId="78AEDEA7" w14:textId="77777777" w:rsidR="00D25E8C" w:rsidRPr="008B14E9" w:rsidRDefault="00D25E8C" w:rsidP="00913704">
          <w:pPr>
            <w:keepNext/>
            <w:spacing w:before="60" w:after="60"/>
            <w:outlineLvl w:val="0"/>
            <w:rPr>
              <w:b/>
              <w:sz w:val="20"/>
            </w:rPr>
          </w:pPr>
          <w:r w:rsidRPr="008B14E9">
            <w:rPr>
              <w:b/>
              <w:sz w:val="20"/>
            </w:rPr>
            <w:t>Manual Location(s)</w:t>
          </w:r>
        </w:p>
      </w:tc>
      <w:tc>
        <w:tcPr>
          <w:tcW w:w="4410" w:type="dxa"/>
          <w:tcBorders>
            <w:top w:val="single" w:sz="4" w:space="0" w:color="auto"/>
            <w:bottom w:val="double" w:sz="4" w:space="0" w:color="auto"/>
          </w:tcBorders>
        </w:tcPr>
        <w:p w14:paraId="67A0ADD8" w14:textId="77777777" w:rsidR="00D25E8C" w:rsidRPr="008B14E9" w:rsidRDefault="000D7E5B" w:rsidP="00913704">
          <w:pPr>
            <w:spacing w:before="60" w:after="60"/>
            <w:rPr>
              <w:sz w:val="20"/>
            </w:rPr>
          </w:pPr>
          <w:r>
            <w:rPr>
              <w:sz w:val="20"/>
            </w:rPr>
            <w:t>Business Office Manual</w:t>
          </w:r>
        </w:p>
      </w:tc>
      <w:tc>
        <w:tcPr>
          <w:tcW w:w="1350" w:type="dxa"/>
          <w:tcBorders>
            <w:top w:val="single" w:sz="4" w:space="0" w:color="auto"/>
            <w:bottom w:val="double" w:sz="4" w:space="0" w:color="auto"/>
          </w:tcBorders>
          <w:shd w:val="pct5" w:color="000000" w:fill="FFFFFF"/>
        </w:tcPr>
        <w:p w14:paraId="1A3A1701" w14:textId="77777777" w:rsidR="00D25E8C" w:rsidRPr="008B14E9" w:rsidRDefault="00D25E8C" w:rsidP="00913704">
          <w:pPr>
            <w:keepNext/>
            <w:spacing w:before="60" w:after="60"/>
            <w:outlineLvl w:val="0"/>
            <w:rPr>
              <w:b/>
              <w:sz w:val="20"/>
            </w:rPr>
          </w:pPr>
          <w:r w:rsidRPr="008B14E9">
            <w:rPr>
              <w:b/>
              <w:sz w:val="20"/>
            </w:rPr>
            <w:t>Page #</w:t>
          </w:r>
        </w:p>
      </w:tc>
      <w:tc>
        <w:tcPr>
          <w:tcW w:w="1620" w:type="dxa"/>
          <w:tcBorders>
            <w:top w:val="single" w:sz="4" w:space="0" w:color="auto"/>
            <w:bottom w:val="double" w:sz="4" w:space="0" w:color="auto"/>
            <w:right w:val="double" w:sz="4" w:space="0" w:color="auto"/>
          </w:tcBorders>
        </w:tcPr>
        <w:p w14:paraId="41914B8B" w14:textId="77777777" w:rsidR="00D25E8C" w:rsidRPr="008B14E9" w:rsidRDefault="00D25E8C" w:rsidP="00913704">
          <w:pPr>
            <w:spacing w:before="60" w:after="60"/>
            <w:rPr>
              <w:sz w:val="20"/>
            </w:rPr>
          </w:pPr>
          <w:r w:rsidRPr="008B14E9">
            <w:rPr>
              <w:snapToGrid w:val="0"/>
              <w:sz w:val="20"/>
            </w:rPr>
            <w:t xml:space="preserve">Page </w:t>
          </w:r>
          <w:r w:rsidR="00464C86" w:rsidRPr="008B14E9">
            <w:rPr>
              <w:snapToGrid w:val="0"/>
              <w:sz w:val="20"/>
            </w:rPr>
            <w:fldChar w:fldCharType="begin"/>
          </w:r>
          <w:r w:rsidRPr="008B14E9">
            <w:rPr>
              <w:snapToGrid w:val="0"/>
              <w:sz w:val="20"/>
            </w:rPr>
            <w:instrText xml:space="preserve"> PAGE </w:instrText>
          </w:r>
          <w:r w:rsidR="00464C86" w:rsidRPr="008B14E9">
            <w:rPr>
              <w:snapToGrid w:val="0"/>
              <w:sz w:val="20"/>
            </w:rPr>
            <w:fldChar w:fldCharType="separate"/>
          </w:r>
          <w:r w:rsidR="00673284">
            <w:rPr>
              <w:noProof/>
              <w:snapToGrid w:val="0"/>
              <w:sz w:val="20"/>
            </w:rPr>
            <w:t>2</w:t>
          </w:r>
          <w:r w:rsidR="00464C86" w:rsidRPr="008B14E9">
            <w:rPr>
              <w:snapToGrid w:val="0"/>
              <w:sz w:val="20"/>
            </w:rPr>
            <w:fldChar w:fldCharType="end"/>
          </w:r>
          <w:r w:rsidRPr="008B14E9">
            <w:rPr>
              <w:snapToGrid w:val="0"/>
              <w:sz w:val="20"/>
            </w:rPr>
            <w:t xml:space="preserve"> of </w:t>
          </w:r>
          <w:r w:rsidR="00464C86" w:rsidRPr="008B14E9">
            <w:rPr>
              <w:snapToGrid w:val="0"/>
              <w:sz w:val="20"/>
            </w:rPr>
            <w:fldChar w:fldCharType="begin"/>
          </w:r>
          <w:r w:rsidRPr="008B14E9">
            <w:rPr>
              <w:snapToGrid w:val="0"/>
              <w:sz w:val="20"/>
            </w:rPr>
            <w:instrText xml:space="preserve"> NUMPAGES </w:instrText>
          </w:r>
          <w:r w:rsidR="00464C86" w:rsidRPr="008B14E9">
            <w:rPr>
              <w:snapToGrid w:val="0"/>
              <w:sz w:val="20"/>
            </w:rPr>
            <w:fldChar w:fldCharType="separate"/>
          </w:r>
          <w:r w:rsidR="00673284">
            <w:rPr>
              <w:noProof/>
              <w:snapToGrid w:val="0"/>
              <w:sz w:val="20"/>
            </w:rPr>
            <w:t>4</w:t>
          </w:r>
          <w:r w:rsidR="00464C86" w:rsidRPr="008B14E9">
            <w:rPr>
              <w:snapToGrid w:val="0"/>
              <w:sz w:val="20"/>
            </w:rPr>
            <w:fldChar w:fldCharType="end"/>
          </w:r>
        </w:p>
      </w:tc>
    </w:tr>
  </w:tbl>
  <w:p w14:paraId="299A198E" w14:textId="77777777" w:rsidR="00D25E8C" w:rsidRDefault="00D25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500C" w14:textId="77777777" w:rsidR="00D25E8C" w:rsidRPr="00E90DCC" w:rsidRDefault="00D25E8C" w:rsidP="00913704">
    <w:pPr>
      <w:tabs>
        <w:tab w:val="center" w:pos="4320"/>
        <w:tab w:val="right" w:pos="8640"/>
      </w:tabs>
      <w:jc w:val="center"/>
      <w:rPr>
        <w:sz w:val="20"/>
      </w:rPr>
    </w:pPr>
    <w:r>
      <w:rPr>
        <w:noProof/>
        <w:sz w:val="20"/>
      </w:rPr>
      <w:drawing>
        <wp:inline distT="0" distB="0" distL="0" distR="0" wp14:anchorId="42F77158" wp14:editId="29C41FBA">
          <wp:extent cx="2057400" cy="647700"/>
          <wp:effectExtent l="19050" t="0" r="0" b="0"/>
          <wp:docPr id="1" name="Picture 1" descr="UCGH Logo for Newsltr_720dpi_Rev1_White Bk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GH Logo for Newsltr_720dpi_Rev1_White BkGnd.jpg"/>
                  <pic:cNvPicPr>
                    <a:picLocks noChangeAspect="1" noChangeArrowheads="1"/>
                  </pic:cNvPicPr>
                </pic:nvPicPr>
                <pic:blipFill>
                  <a:blip r:embed="rId1"/>
                  <a:srcRect/>
                  <a:stretch>
                    <a:fillRect/>
                  </a:stretch>
                </pic:blipFill>
                <pic:spPr bwMode="auto">
                  <a:xfrm>
                    <a:off x="0" y="0"/>
                    <a:ext cx="2057400" cy="647700"/>
                  </a:xfrm>
                  <a:prstGeom prst="rect">
                    <a:avLst/>
                  </a:prstGeom>
                  <a:noFill/>
                  <a:ln w="9525">
                    <a:noFill/>
                    <a:miter lim="800000"/>
                    <a:headEnd/>
                    <a:tailEnd/>
                  </a:ln>
                </pic:spPr>
              </pic:pic>
            </a:graphicData>
          </a:graphic>
        </wp:inline>
      </w:drawing>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340"/>
      <w:gridCol w:w="270"/>
      <w:gridCol w:w="720"/>
      <w:gridCol w:w="360"/>
      <w:gridCol w:w="630"/>
      <w:gridCol w:w="630"/>
      <w:gridCol w:w="270"/>
      <w:gridCol w:w="1440"/>
    </w:tblGrid>
    <w:tr w:rsidR="00D25E8C" w:rsidRPr="008B14E9" w14:paraId="3D43F6FE" w14:textId="77777777" w:rsidTr="00913704">
      <w:tc>
        <w:tcPr>
          <w:tcW w:w="2898" w:type="dxa"/>
          <w:tcBorders>
            <w:top w:val="double" w:sz="4" w:space="0" w:color="auto"/>
            <w:left w:val="double" w:sz="4" w:space="0" w:color="auto"/>
            <w:bottom w:val="single" w:sz="4" w:space="0" w:color="auto"/>
          </w:tcBorders>
          <w:shd w:val="pct5" w:color="000000" w:fill="FFFFFF"/>
        </w:tcPr>
        <w:p w14:paraId="3C3587BE" w14:textId="77777777" w:rsidR="00D25E8C" w:rsidRPr="008B14E9" w:rsidRDefault="00D25E8C" w:rsidP="0049478C">
          <w:pPr>
            <w:spacing w:before="60" w:after="60"/>
            <w:rPr>
              <w:b/>
              <w:sz w:val="20"/>
            </w:rPr>
          </w:pPr>
          <w:r w:rsidRPr="008B14E9">
            <w:rPr>
              <w:b/>
              <w:sz w:val="20"/>
            </w:rPr>
            <w:t>Policy/Procedure Title</w:t>
          </w:r>
        </w:p>
      </w:tc>
      <w:tc>
        <w:tcPr>
          <w:tcW w:w="4320" w:type="dxa"/>
          <w:gridSpan w:val="5"/>
          <w:tcBorders>
            <w:top w:val="double" w:sz="4" w:space="0" w:color="auto"/>
            <w:bottom w:val="single" w:sz="4" w:space="0" w:color="auto"/>
            <w:right w:val="single" w:sz="4" w:space="0" w:color="auto"/>
          </w:tcBorders>
        </w:tcPr>
        <w:p w14:paraId="6CA56462" w14:textId="77777777" w:rsidR="00D25E8C" w:rsidRPr="00DF2092" w:rsidRDefault="00D25E8C" w:rsidP="000A2BFF">
          <w:pPr>
            <w:spacing w:before="60" w:after="60"/>
            <w:rPr>
              <w:sz w:val="20"/>
            </w:rPr>
          </w:pPr>
          <w:bookmarkStart w:id="1" w:name="Title"/>
          <w:bookmarkEnd w:id="1"/>
          <w:r>
            <w:rPr>
              <w:sz w:val="20"/>
            </w:rPr>
            <w:t>BAD DEBT POLICY AND PROCEDURE</w:t>
          </w:r>
        </w:p>
      </w:tc>
      <w:tc>
        <w:tcPr>
          <w:tcW w:w="900" w:type="dxa"/>
          <w:gridSpan w:val="2"/>
          <w:tcBorders>
            <w:top w:val="double" w:sz="4" w:space="0" w:color="auto"/>
            <w:left w:val="nil"/>
            <w:bottom w:val="single" w:sz="4" w:space="0" w:color="auto"/>
            <w:right w:val="single" w:sz="4" w:space="0" w:color="auto"/>
          </w:tcBorders>
          <w:shd w:val="pct5" w:color="000000" w:fill="FFFFFF"/>
        </w:tcPr>
        <w:p w14:paraId="2008E4B6" w14:textId="77777777" w:rsidR="00D25E8C" w:rsidRPr="008B14E9" w:rsidRDefault="00D25E8C" w:rsidP="0049478C">
          <w:pPr>
            <w:spacing w:before="60" w:after="60"/>
            <w:rPr>
              <w:b/>
              <w:sz w:val="20"/>
            </w:rPr>
          </w:pPr>
          <w:r w:rsidRPr="008B14E9">
            <w:rPr>
              <w:b/>
              <w:sz w:val="20"/>
            </w:rPr>
            <w:t>Policy #</w:t>
          </w:r>
        </w:p>
      </w:tc>
      <w:tc>
        <w:tcPr>
          <w:tcW w:w="1440" w:type="dxa"/>
          <w:tcBorders>
            <w:top w:val="double" w:sz="4" w:space="0" w:color="auto"/>
            <w:left w:val="nil"/>
            <w:bottom w:val="single" w:sz="4" w:space="0" w:color="auto"/>
            <w:right w:val="double" w:sz="4" w:space="0" w:color="auto"/>
          </w:tcBorders>
        </w:tcPr>
        <w:p w14:paraId="103ADD2E" w14:textId="77777777" w:rsidR="00D25E8C" w:rsidRPr="008B14E9" w:rsidRDefault="00D25E8C" w:rsidP="0049478C">
          <w:pPr>
            <w:spacing w:before="60" w:after="60"/>
            <w:rPr>
              <w:sz w:val="20"/>
            </w:rPr>
          </w:pPr>
          <w:bookmarkStart w:id="2" w:name="Number"/>
          <w:bookmarkEnd w:id="2"/>
        </w:p>
      </w:tc>
    </w:tr>
    <w:tr w:rsidR="00D25E8C" w:rsidRPr="008B14E9" w14:paraId="6DD106F7" w14:textId="77777777" w:rsidTr="00913704">
      <w:tc>
        <w:tcPr>
          <w:tcW w:w="2898" w:type="dxa"/>
          <w:tcBorders>
            <w:top w:val="single" w:sz="4" w:space="0" w:color="auto"/>
            <w:left w:val="double" w:sz="4" w:space="0" w:color="auto"/>
            <w:bottom w:val="single" w:sz="4" w:space="0" w:color="auto"/>
          </w:tcBorders>
          <w:shd w:val="pct5" w:color="000000" w:fill="FFFFFF"/>
        </w:tcPr>
        <w:p w14:paraId="73673A79" w14:textId="77777777" w:rsidR="00D25E8C" w:rsidRPr="008B14E9" w:rsidRDefault="00D25E8C" w:rsidP="0049478C">
          <w:pPr>
            <w:keepNext/>
            <w:spacing w:before="60" w:after="60"/>
            <w:outlineLvl w:val="0"/>
            <w:rPr>
              <w:b/>
              <w:sz w:val="20"/>
            </w:rPr>
          </w:pPr>
          <w:r w:rsidRPr="008B14E9">
            <w:rPr>
              <w:b/>
              <w:sz w:val="20"/>
            </w:rPr>
            <w:t>Manual Location(s)</w:t>
          </w:r>
        </w:p>
      </w:tc>
      <w:tc>
        <w:tcPr>
          <w:tcW w:w="2340" w:type="dxa"/>
          <w:tcBorders>
            <w:top w:val="single" w:sz="4" w:space="0" w:color="auto"/>
            <w:bottom w:val="single" w:sz="4" w:space="0" w:color="auto"/>
          </w:tcBorders>
        </w:tcPr>
        <w:p w14:paraId="5A3B29BE" w14:textId="77777777" w:rsidR="00D25E8C" w:rsidRPr="008B14E9" w:rsidRDefault="00D25E8C" w:rsidP="000D7E5B">
          <w:pPr>
            <w:spacing w:before="60" w:after="60"/>
            <w:rPr>
              <w:sz w:val="20"/>
            </w:rPr>
          </w:pPr>
          <w:bookmarkStart w:id="3" w:name="Location"/>
          <w:bookmarkEnd w:id="3"/>
          <w:r>
            <w:rPr>
              <w:sz w:val="20"/>
            </w:rPr>
            <w:t xml:space="preserve">Business Office </w:t>
          </w:r>
          <w:r w:rsidR="000D7E5B">
            <w:rPr>
              <w:sz w:val="20"/>
            </w:rPr>
            <w:t>Manual</w:t>
          </w:r>
        </w:p>
      </w:tc>
      <w:tc>
        <w:tcPr>
          <w:tcW w:w="990" w:type="dxa"/>
          <w:gridSpan w:val="2"/>
          <w:tcBorders>
            <w:top w:val="single" w:sz="4" w:space="0" w:color="auto"/>
            <w:bottom w:val="single" w:sz="4" w:space="0" w:color="auto"/>
          </w:tcBorders>
          <w:shd w:val="pct5" w:color="000000" w:fill="FFFFFF"/>
        </w:tcPr>
        <w:p w14:paraId="2ABD4C8B" w14:textId="77777777" w:rsidR="00D25E8C" w:rsidRPr="008B14E9" w:rsidRDefault="00D25E8C" w:rsidP="0049478C">
          <w:pPr>
            <w:keepNext/>
            <w:spacing w:before="60" w:after="60"/>
            <w:outlineLvl w:val="1"/>
            <w:rPr>
              <w:b/>
              <w:bCs/>
              <w:iCs/>
              <w:sz w:val="20"/>
            </w:rPr>
          </w:pPr>
          <w:r w:rsidRPr="008B14E9">
            <w:rPr>
              <w:b/>
              <w:bCs/>
              <w:iCs/>
              <w:sz w:val="20"/>
            </w:rPr>
            <w:t>Effective</w:t>
          </w:r>
        </w:p>
      </w:tc>
      <w:tc>
        <w:tcPr>
          <w:tcW w:w="990" w:type="dxa"/>
          <w:gridSpan w:val="2"/>
          <w:tcBorders>
            <w:top w:val="single" w:sz="4" w:space="0" w:color="auto"/>
            <w:bottom w:val="single" w:sz="4" w:space="0" w:color="auto"/>
          </w:tcBorders>
        </w:tcPr>
        <w:p w14:paraId="3B2E4744" w14:textId="517734DC" w:rsidR="00D25E8C" w:rsidRPr="008B14E9" w:rsidRDefault="00FA7F83" w:rsidP="0049478C">
          <w:pPr>
            <w:spacing w:before="60" w:after="60"/>
            <w:rPr>
              <w:sz w:val="20"/>
            </w:rPr>
          </w:pPr>
          <w:r>
            <w:rPr>
              <w:sz w:val="20"/>
            </w:rPr>
            <w:t>5/4/2017</w:t>
          </w:r>
        </w:p>
      </w:tc>
      <w:tc>
        <w:tcPr>
          <w:tcW w:w="630" w:type="dxa"/>
          <w:tcBorders>
            <w:top w:val="single" w:sz="4" w:space="0" w:color="auto"/>
            <w:bottom w:val="single" w:sz="4" w:space="0" w:color="auto"/>
          </w:tcBorders>
          <w:shd w:val="pct5" w:color="000000" w:fill="FFFFFF"/>
        </w:tcPr>
        <w:p w14:paraId="7970BC37" w14:textId="77777777" w:rsidR="00D25E8C" w:rsidRPr="008B14E9" w:rsidRDefault="00D25E8C" w:rsidP="0049478C">
          <w:pPr>
            <w:keepNext/>
            <w:spacing w:before="60" w:after="60"/>
            <w:jc w:val="center"/>
            <w:outlineLvl w:val="0"/>
            <w:rPr>
              <w:b/>
              <w:sz w:val="20"/>
            </w:rPr>
          </w:pPr>
          <w:r w:rsidRPr="008B14E9">
            <w:rPr>
              <w:b/>
              <w:sz w:val="20"/>
            </w:rPr>
            <w:t>Page</w:t>
          </w:r>
        </w:p>
      </w:tc>
      <w:tc>
        <w:tcPr>
          <w:tcW w:w="1710" w:type="dxa"/>
          <w:gridSpan w:val="2"/>
          <w:tcBorders>
            <w:top w:val="single" w:sz="4" w:space="0" w:color="auto"/>
            <w:bottom w:val="single" w:sz="4" w:space="0" w:color="auto"/>
            <w:right w:val="double" w:sz="4" w:space="0" w:color="auto"/>
          </w:tcBorders>
        </w:tcPr>
        <w:p w14:paraId="74F172E1" w14:textId="77777777" w:rsidR="00D25E8C" w:rsidRPr="008B14E9" w:rsidRDefault="00D25E8C" w:rsidP="000A2BFF">
          <w:pPr>
            <w:spacing w:before="60" w:after="60"/>
            <w:rPr>
              <w:sz w:val="20"/>
            </w:rPr>
          </w:pPr>
          <w:r w:rsidRPr="008B14E9">
            <w:rPr>
              <w:snapToGrid w:val="0"/>
              <w:sz w:val="20"/>
            </w:rPr>
            <w:t xml:space="preserve">Page </w:t>
          </w:r>
          <w:r w:rsidR="00464C86" w:rsidRPr="008B14E9">
            <w:rPr>
              <w:snapToGrid w:val="0"/>
              <w:sz w:val="20"/>
            </w:rPr>
            <w:fldChar w:fldCharType="begin"/>
          </w:r>
          <w:r w:rsidRPr="008B14E9">
            <w:rPr>
              <w:snapToGrid w:val="0"/>
              <w:sz w:val="20"/>
            </w:rPr>
            <w:instrText xml:space="preserve"> PAGE </w:instrText>
          </w:r>
          <w:r w:rsidR="00464C86" w:rsidRPr="008B14E9">
            <w:rPr>
              <w:snapToGrid w:val="0"/>
              <w:sz w:val="20"/>
            </w:rPr>
            <w:fldChar w:fldCharType="separate"/>
          </w:r>
          <w:r w:rsidR="00673284">
            <w:rPr>
              <w:noProof/>
              <w:snapToGrid w:val="0"/>
              <w:sz w:val="20"/>
            </w:rPr>
            <w:t>1</w:t>
          </w:r>
          <w:r w:rsidR="00464C86" w:rsidRPr="008B14E9">
            <w:rPr>
              <w:snapToGrid w:val="0"/>
              <w:sz w:val="20"/>
            </w:rPr>
            <w:fldChar w:fldCharType="end"/>
          </w:r>
          <w:r w:rsidRPr="008B14E9">
            <w:rPr>
              <w:snapToGrid w:val="0"/>
              <w:sz w:val="20"/>
            </w:rPr>
            <w:t xml:space="preserve"> of </w:t>
          </w:r>
          <w:r w:rsidR="00AE4138">
            <w:rPr>
              <w:snapToGrid w:val="0"/>
              <w:sz w:val="20"/>
            </w:rPr>
            <w:t>4</w:t>
          </w:r>
        </w:p>
      </w:tc>
    </w:tr>
    <w:tr w:rsidR="00D25E8C" w:rsidRPr="008B14E9" w14:paraId="6E62AE12" w14:textId="77777777" w:rsidTr="00913704">
      <w:trPr>
        <w:cantSplit/>
      </w:trPr>
      <w:tc>
        <w:tcPr>
          <w:tcW w:w="2898" w:type="dxa"/>
          <w:tcBorders>
            <w:top w:val="single" w:sz="4" w:space="0" w:color="auto"/>
            <w:left w:val="double" w:sz="4" w:space="0" w:color="auto"/>
            <w:bottom w:val="single" w:sz="4" w:space="0" w:color="auto"/>
          </w:tcBorders>
          <w:shd w:val="pct5" w:color="000000" w:fill="FFFFFF"/>
        </w:tcPr>
        <w:p w14:paraId="07051ADC" w14:textId="77777777" w:rsidR="00D25E8C" w:rsidRPr="008B14E9" w:rsidRDefault="00D25E8C" w:rsidP="0049478C">
          <w:pPr>
            <w:spacing w:before="60" w:after="60"/>
            <w:rPr>
              <w:b/>
              <w:sz w:val="20"/>
            </w:rPr>
          </w:pPr>
          <w:r w:rsidRPr="008B14E9">
            <w:rPr>
              <w:b/>
              <w:sz w:val="20"/>
            </w:rPr>
            <w:t>Department Generating Policy</w:t>
          </w:r>
        </w:p>
      </w:tc>
      <w:tc>
        <w:tcPr>
          <w:tcW w:w="6660" w:type="dxa"/>
          <w:gridSpan w:val="8"/>
          <w:tcBorders>
            <w:top w:val="single" w:sz="4" w:space="0" w:color="auto"/>
            <w:bottom w:val="single" w:sz="4" w:space="0" w:color="auto"/>
            <w:right w:val="double" w:sz="4" w:space="0" w:color="auto"/>
          </w:tcBorders>
        </w:tcPr>
        <w:p w14:paraId="69E41767" w14:textId="77777777" w:rsidR="00D25E8C" w:rsidRPr="008B14E9" w:rsidRDefault="00D25E8C" w:rsidP="0049478C">
          <w:pPr>
            <w:spacing w:before="60" w:after="60"/>
            <w:rPr>
              <w:sz w:val="20"/>
            </w:rPr>
          </w:pPr>
          <w:r>
            <w:rPr>
              <w:sz w:val="20"/>
            </w:rPr>
            <w:t>Patient Financial Services</w:t>
          </w:r>
        </w:p>
      </w:tc>
    </w:tr>
    <w:tr w:rsidR="00D25E8C" w:rsidRPr="008B14E9" w14:paraId="38E3EB53" w14:textId="77777777" w:rsidTr="00913704">
      <w:tc>
        <w:tcPr>
          <w:tcW w:w="2898" w:type="dxa"/>
          <w:tcBorders>
            <w:top w:val="single" w:sz="4" w:space="0" w:color="auto"/>
            <w:left w:val="double" w:sz="4" w:space="0" w:color="auto"/>
            <w:bottom w:val="single" w:sz="4" w:space="0" w:color="auto"/>
          </w:tcBorders>
          <w:shd w:val="pct5" w:color="000000" w:fill="FFFFFF"/>
        </w:tcPr>
        <w:p w14:paraId="5ABCD8B5" w14:textId="77777777" w:rsidR="00D25E8C" w:rsidRPr="008B14E9" w:rsidRDefault="00D25E8C" w:rsidP="0049478C">
          <w:pPr>
            <w:spacing w:before="60" w:after="60"/>
            <w:rPr>
              <w:b/>
              <w:sz w:val="20"/>
            </w:rPr>
          </w:pPr>
          <w:r w:rsidRPr="008B14E9">
            <w:rPr>
              <w:b/>
              <w:sz w:val="20"/>
            </w:rPr>
            <w:t>Affected Departments</w:t>
          </w:r>
        </w:p>
      </w:tc>
      <w:tc>
        <w:tcPr>
          <w:tcW w:w="6660" w:type="dxa"/>
          <w:gridSpan w:val="8"/>
          <w:tcBorders>
            <w:top w:val="single" w:sz="4" w:space="0" w:color="auto"/>
            <w:bottom w:val="single" w:sz="4" w:space="0" w:color="auto"/>
            <w:right w:val="double" w:sz="4" w:space="0" w:color="auto"/>
          </w:tcBorders>
        </w:tcPr>
        <w:p w14:paraId="19D26E73" w14:textId="77777777" w:rsidR="00D25E8C" w:rsidRPr="008B14E9" w:rsidRDefault="00D25E8C" w:rsidP="0049478C">
          <w:pPr>
            <w:spacing w:before="60" w:after="60"/>
            <w:rPr>
              <w:sz w:val="20"/>
            </w:rPr>
          </w:pPr>
          <w:r w:rsidRPr="008B14E9">
            <w:rPr>
              <w:sz w:val="20"/>
            </w:rPr>
            <w:t>All Departments</w:t>
          </w:r>
        </w:p>
      </w:tc>
    </w:tr>
    <w:tr w:rsidR="00D25E8C" w:rsidRPr="008B14E9" w14:paraId="203EF97A" w14:textId="77777777" w:rsidTr="00E26490">
      <w:tc>
        <w:tcPr>
          <w:tcW w:w="2898" w:type="dxa"/>
          <w:tcBorders>
            <w:top w:val="single" w:sz="4" w:space="0" w:color="auto"/>
            <w:left w:val="double" w:sz="4" w:space="0" w:color="auto"/>
            <w:bottom w:val="double" w:sz="4" w:space="0" w:color="auto"/>
          </w:tcBorders>
          <w:shd w:val="pct5" w:color="000000" w:fill="FFFFFF"/>
        </w:tcPr>
        <w:p w14:paraId="1AC795D0" w14:textId="77777777" w:rsidR="00D25E8C" w:rsidRPr="008B14E9" w:rsidRDefault="00D25E8C" w:rsidP="0049478C">
          <w:pPr>
            <w:spacing w:before="60" w:after="60"/>
            <w:rPr>
              <w:b/>
              <w:sz w:val="20"/>
            </w:rPr>
          </w:pPr>
          <w:r w:rsidRPr="008B14E9">
            <w:rPr>
              <w:b/>
              <w:sz w:val="20"/>
            </w:rPr>
            <w:t>Prepared By</w:t>
          </w:r>
        </w:p>
      </w:tc>
      <w:tc>
        <w:tcPr>
          <w:tcW w:w="2610" w:type="dxa"/>
          <w:gridSpan w:val="2"/>
          <w:tcBorders>
            <w:top w:val="single" w:sz="4" w:space="0" w:color="auto"/>
            <w:bottom w:val="double" w:sz="4" w:space="0" w:color="auto"/>
          </w:tcBorders>
        </w:tcPr>
        <w:p w14:paraId="75CB0B0D" w14:textId="7BA1BD6E" w:rsidR="00D25E8C" w:rsidRPr="008B14E9" w:rsidRDefault="00EA6DE7" w:rsidP="0049478C">
          <w:pPr>
            <w:spacing w:before="60" w:after="60"/>
            <w:rPr>
              <w:sz w:val="20"/>
            </w:rPr>
          </w:pPr>
          <w:r>
            <w:rPr>
              <w:sz w:val="20"/>
            </w:rPr>
            <w:t>Terri Martinez</w:t>
          </w:r>
        </w:p>
      </w:tc>
      <w:tc>
        <w:tcPr>
          <w:tcW w:w="1080" w:type="dxa"/>
          <w:gridSpan w:val="2"/>
          <w:tcBorders>
            <w:top w:val="single" w:sz="4" w:space="0" w:color="auto"/>
            <w:bottom w:val="double" w:sz="4" w:space="0" w:color="auto"/>
          </w:tcBorders>
          <w:shd w:val="pct5" w:color="000000" w:fill="FFFFFF"/>
        </w:tcPr>
        <w:p w14:paraId="0973DE4C" w14:textId="77777777" w:rsidR="00D25E8C" w:rsidRPr="008B14E9" w:rsidRDefault="00D25E8C" w:rsidP="0049478C">
          <w:pPr>
            <w:keepNext/>
            <w:spacing w:before="60" w:after="60"/>
            <w:outlineLvl w:val="1"/>
            <w:rPr>
              <w:b/>
              <w:bCs/>
              <w:iCs/>
              <w:sz w:val="20"/>
            </w:rPr>
          </w:pPr>
          <w:r w:rsidRPr="008B14E9">
            <w:rPr>
              <w:b/>
              <w:bCs/>
              <w:iCs/>
              <w:sz w:val="20"/>
            </w:rPr>
            <w:t>Date/Title</w:t>
          </w:r>
        </w:p>
      </w:tc>
      <w:tc>
        <w:tcPr>
          <w:tcW w:w="2970" w:type="dxa"/>
          <w:gridSpan w:val="4"/>
          <w:tcBorders>
            <w:top w:val="single" w:sz="4" w:space="0" w:color="auto"/>
            <w:bottom w:val="double" w:sz="4" w:space="0" w:color="auto"/>
            <w:right w:val="double" w:sz="4" w:space="0" w:color="auto"/>
          </w:tcBorders>
        </w:tcPr>
        <w:p w14:paraId="3D23C4BA" w14:textId="60D347EB" w:rsidR="00D25E8C" w:rsidRPr="008B14E9" w:rsidRDefault="00EA6DE7" w:rsidP="000D7E5B">
          <w:pPr>
            <w:spacing w:before="60" w:after="60"/>
            <w:rPr>
              <w:sz w:val="20"/>
            </w:rPr>
          </w:pPr>
          <w:r>
            <w:rPr>
              <w:sz w:val="20"/>
            </w:rPr>
            <w:t>4/24/2017, CFO</w:t>
          </w:r>
        </w:p>
      </w:tc>
    </w:tr>
    <w:tr w:rsidR="00D25E8C" w:rsidRPr="008B14E9" w14:paraId="7CA4EF25" w14:textId="77777777" w:rsidTr="00E26490">
      <w:trPr>
        <w:cantSplit/>
        <w:trHeight w:val="260"/>
      </w:trPr>
      <w:tc>
        <w:tcPr>
          <w:tcW w:w="2898" w:type="dxa"/>
          <w:tcBorders>
            <w:top w:val="single" w:sz="4" w:space="0" w:color="auto"/>
            <w:left w:val="double" w:sz="4" w:space="0" w:color="auto"/>
            <w:bottom w:val="double" w:sz="4" w:space="0" w:color="auto"/>
          </w:tcBorders>
          <w:shd w:val="pct5" w:color="000000" w:fill="FFFFFF"/>
        </w:tcPr>
        <w:p w14:paraId="2AF571FF" w14:textId="77777777" w:rsidR="00D25E8C" w:rsidRPr="008B14E9" w:rsidRDefault="00D25E8C" w:rsidP="0049478C">
          <w:pPr>
            <w:spacing w:before="60" w:after="60"/>
            <w:rPr>
              <w:b/>
              <w:sz w:val="20"/>
            </w:rPr>
          </w:pPr>
          <w:r w:rsidRPr="008B14E9">
            <w:rPr>
              <w:b/>
              <w:sz w:val="20"/>
            </w:rPr>
            <w:t xml:space="preserve">Governing Board </w:t>
          </w:r>
        </w:p>
      </w:tc>
      <w:tc>
        <w:tcPr>
          <w:tcW w:w="2610" w:type="dxa"/>
          <w:gridSpan w:val="2"/>
          <w:tcBorders>
            <w:top w:val="single" w:sz="4" w:space="0" w:color="auto"/>
            <w:bottom w:val="double" w:sz="4" w:space="0" w:color="auto"/>
          </w:tcBorders>
        </w:tcPr>
        <w:p w14:paraId="252311B7" w14:textId="77777777" w:rsidR="00D25E8C" w:rsidRPr="008B14E9" w:rsidRDefault="00D25E8C" w:rsidP="0049478C">
          <w:pPr>
            <w:spacing w:before="60" w:after="60"/>
            <w:rPr>
              <w:sz w:val="20"/>
            </w:rPr>
          </w:pPr>
          <w:r>
            <w:rPr>
              <w:sz w:val="20"/>
            </w:rPr>
            <w:t>Judith Cooper</w:t>
          </w:r>
        </w:p>
      </w:tc>
      <w:tc>
        <w:tcPr>
          <w:tcW w:w="1080" w:type="dxa"/>
          <w:gridSpan w:val="2"/>
          <w:tcBorders>
            <w:top w:val="single" w:sz="4" w:space="0" w:color="auto"/>
            <w:bottom w:val="double" w:sz="4" w:space="0" w:color="auto"/>
          </w:tcBorders>
          <w:shd w:val="pct5" w:color="000000" w:fill="FFFFFF"/>
        </w:tcPr>
        <w:p w14:paraId="4D6B574C" w14:textId="77777777" w:rsidR="00D25E8C" w:rsidRPr="008B14E9" w:rsidRDefault="00D25E8C" w:rsidP="0049478C">
          <w:pPr>
            <w:spacing w:before="60" w:after="60"/>
            <w:rPr>
              <w:b/>
              <w:sz w:val="20"/>
            </w:rPr>
          </w:pPr>
          <w:r w:rsidRPr="008B14E9">
            <w:rPr>
              <w:b/>
              <w:sz w:val="20"/>
            </w:rPr>
            <w:t>Date/Title</w:t>
          </w:r>
        </w:p>
      </w:tc>
      <w:tc>
        <w:tcPr>
          <w:tcW w:w="2970" w:type="dxa"/>
          <w:gridSpan w:val="4"/>
          <w:tcBorders>
            <w:top w:val="single" w:sz="4" w:space="0" w:color="auto"/>
            <w:bottom w:val="double" w:sz="4" w:space="0" w:color="auto"/>
            <w:right w:val="double" w:sz="4" w:space="0" w:color="auto"/>
          </w:tcBorders>
        </w:tcPr>
        <w:p w14:paraId="2A00D2D5" w14:textId="63FF3292" w:rsidR="00D25E8C" w:rsidRPr="008B14E9" w:rsidRDefault="00EA6DE7" w:rsidP="0089279F">
          <w:pPr>
            <w:spacing w:before="60" w:after="60"/>
            <w:rPr>
              <w:sz w:val="20"/>
            </w:rPr>
          </w:pPr>
          <w:r>
            <w:rPr>
              <w:sz w:val="20"/>
            </w:rPr>
            <w:t>5.4.2017</w:t>
          </w:r>
          <w:r w:rsidR="00D25E8C" w:rsidRPr="008B14E9">
            <w:rPr>
              <w:sz w:val="20"/>
            </w:rPr>
            <w:t xml:space="preserve">, </w:t>
          </w:r>
          <w:r w:rsidR="00D25E8C" w:rsidRPr="00862BA6">
            <w:rPr>
              <w:sz w:val="19"/>
              <w:szCs w:val="19"/>
            </w:rPr>
            <w:t>Governing Board Chair</w:t>
          </w:r>
        </w:p>
      </w:tc>
    </w:tr>
  </w:tbl>
  <w:p w14:paraId="5E77605E" w14:textId="77777777" w:rsidR="00D25E8C" w:rsidRDefault="00D25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0FB"/>
    <w:multiLevelType w:val="hybridMultilevel"/>
    <w:tmpl w:val="2E1C6D80"/>
    <w:lvl w:ilvl="0" w:tplc="A2F40A8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FDE2EA3"/>
    <w:multiLevelType w:val="hybridMultilevel"/>
    <w:tmpl w:val="CB6A31A0"/>
    <w:lvl w:ilvl="0" w:tplc="98DA65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A0AB4"/>
    <w:multiLevelType w:val="hybridMultilevel"/>
    <w:tmpl w:val="91448386"/>
    <w:lvl w:ilvl="0" w:tplc="429CD6F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D99763A"/>
    <w:multiLevelType w:val="hybridMultilevel"/>
    <w:tmpl w:val="1C1486BE"/>
    <w:lvl w:ilvl="0" w:tplc="B4CCA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E2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872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CF194D"/>
    <w:multiLevelType w:val="hybridMultilevel"/>
    <w:tmpl w:val="FD7C46EC"/>
    <w:lvl w:ilvl="0" w:tplc="ADD6874C">
      <w:start w:val="1"/>
      <w:numFmt w:val="upperRoman"/>
      <w:lvlText w:val="%1."/>
      <w:lvlJc w:val="left"/>
      <w:pPr>
        <w:ind w:left="630" w:hanging="72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4CBD3995"/>
    <w:multiLevelType w:val="hybridMultilevel"/>
    <w:tmpl w:val="82C2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B40D5"/>
    <w:multiLevelType w:val="singleLevel"/>
    <w:tmpl w:val="0052BF6A"/>
    <w:lvl w:ilvl="0">
      <w:start w:val="1"/>
      <w:numFmt w:val="decimal"/>
      <w:lvlText w:val="%1."/>
      <w:lvlJc w:val="left"/>
      <w:pPr>
        <w:tabs>
          <w:tab w:val="num" w:pos="720"/>
        </w:tabs>
        <w:ind w:left="720" w:hanging="720"/>
      </w:pPr>
      <w:rPr>
        <w:rFonts w:hint="default"/>
      </w:rPr>
    </w:lvl>
  </w:abstractNum>
  <w:abstractNum w:abstractNumId="9" w15:restartNumberingAfterBreak="0">
    <w:nsid w:val="6EE06350"/>
    <w:multiLevelType w:val="hybridMultilevel"/>
    <w:tmpl w:val="19BA425A"/>
    <w:lvl w:ilvl="0" w:tplc="F594C00C">
      <w:start w:val="1"/>
      <w:numFmt w:val="upperRoman"/>
      <w:lvlText w:val="%1."/>
      <w:lvlJc w:val="left"/>
      <w:pPr>
        <w:tabs>
          <w:tab w:val="num" w:pos="630"/>
        </w:tabs>
        <w:ind w:left="63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5"/>
  </w:num>
  <w:num w:numId="2">
    <w:abstractNumId w:val="4"/>
  </w:num>
  <w:num w:numId="3">
    <w:abstractNumId w:val="9"/>
  </w:num>
  <w:num w:numId="4">
    <w:abstractNumId w:val="8"/>
  </w:num>
  <w:num w:numId="5">
    <w:abstractNumId w:val="6"/>
  </w:num>
  <w:num w:numId="6">
    <w:abstractNumId w:val="3"/>
  </w:num>
  <w:num w:numId="7">
    <w:abstractNumId w:val="1"/>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CC"/>
    <w:rsid w:val="00044C56"/>
    <w:rsid w:val="000A2BFF"/>
    <w:rsid w:val="000D7E5B"/>
    <w:rsid w:val="00146E29"/>
    <w:rsid w:val="001B4605"/>
    <w:rsid w:val="001C7A73"/>
    <w:rsid w:val="001D79B7"/>
    <w:rsid w:val="00205E0C"/>
    <w:rsid w:val="00276B77"/>
    <w:rsid w:val="00277072"/>
    <w:rsid w:val="002B01E2"/>
    <w:rsid w:val="00344011"/>
    <w:rsid w:val="00363B74"/>
    <w:rsid w:val="003A7220"/>
    <w:rsid w:val="003B7A3F"/>
    <w:rsid w:val="003D4766"/>
    <w:rsid w:val="00464C86"/>
    <w:rsid w:val="00480017"/>
    <w:rsid w:val="004911AF"/>
    <w:rsid w:val="0049478C"/>
    <w:rsid w:val="004F0173"/>
    <w:rsid w:val="00595CC2"/>
    <w:rsid w:val="00616DAA"/>
    <w:rsid w:val="00673284"/>
    <w:rsid w:val="00681070"/>
    <w:rsid w:val="00727129"/>
    <w:rsid w:val="007673A8"/>
    <w:rsid w:val="007760AC"/>
    <w:rsid w:val="007D655D"/>
    <w:rsid w:val="007E6D38"/>
    <w:rsid w:val="00831125"/>
    <w:rsid w:val="00862BA6"/>
    <w:rsid w:val="0089279F"/>
    <w:rsid w:val="008B14E9"/>
    <w:rsid w:val="00913704"/>
    <w:rsid w:val="009300F9"/>
    <w:rsid w:val="00937246"/>
    <w:rsid w:val="0094217A"/>
    <w:rsid w:val="0094495E"/>
    <w:rsid w:val="00980FA4"/>
    <w:rsid w:val="009976E4"/>
    <w:rsid w:val="009B279C"/>
    <w:rsid w:val="009C3E3E"/>
    <w:rsid w:val="00A15E80"/>
    <w:rsid w:val="00A6744E"/>
    <w:rsid w:val="00A711A2"/>
    <w:rsid w:val="00AA0312"/>
    <w:rsid w:val="00AD1320"/>
    <w:rsid w:val="00AE3E84"/>
    <w:rsid w:val="00AE4138"/>
    <w:rsid w:val="00C31473"/>
    <w:rsid w:val="00C71989"/>
    <w:rsid w:val="00CA2A62"/>
    <w:rsid w:val="00D25E8C"/>
    <w:rsid w:val="00DB38DB"/>
    <w:rsid w:val="00DF2092"/>
    <w:rsid w:val="00E26490"/>
    <w:rsid w:val="00E371BD"/>
    <w:rsid w:val="00E90DCC"/>
    <w:rsid w:val="00EA6DE7"/>
    <w:rsid w:val="00EF1EF5"/>
    <w:rsid w:val="00F05067"/>
    <w:rsid w:val="00F61808"/>
    <w:rsid w:val="00F71941"/>
    <w:rsid w:val="00FA7F83"/>
    <w:rsid w:val="00FC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CD8164"/>
  <w15:docId w15:val="{25472714-4E86-497F-9A44-80B7076C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7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DCC"/>
    <w:pPr>
      <w:tabs>
        <w:tab w:val="center" w:pos="4320"/>
        <w:tab w:val="right" w:pos="8640"/>
      </w:tabs>
    </w:pPr>
  </w:style>
  <w:style w:type="paragraph" w:styleId="Footer">
    <w:name w:val="footer"/>
    <w:basedOn w:val="Normal"/>
    <w:rsid w:val="00E90DCC"/>
    <w:pPr>
      <w:tabs>
        <w:tab w:val="center" w:pos="4320"/>
        <w:tab w:val="right" w:pos="8640"/>
      </w:tabs>
    </w:pPr>
  </w:style>
  <w:style w:type="paragraph" w:styleId="BalloonText">
    <w:name w:val="Balloon Text"/>
    <w:basedOn w:val="Normal"/>
    <w:link w:val="BalloonTextChar"/>
    <w:rsid w:val="000A2BFF"/>
    <w:rPr>
      <w:rFonts w:ascii="Tahoma" w:hAnsi="Tahoma" w:cs="Tahoma"/>
      <w:sz w:val="16"/>
      <w:szCs w:val="16"/>
    </w:rPr>
  </w:style>
  <w:style w:type="character" w:customStyle="1" w:styleId="BalloonTextChar">
    <w:name w:val="Balloon Text Char"/>
    <w:basedOn w:val="DefaultParagraphFont"/>
    <w:link w:val="BalloonText"/>
    <w:rsid w:val="000A2BFF"/>
    <w:rPr>
      <w:rFonts w:ascii="Tahoma" w:hAnsi="Tahoma" w:cs="Tahoma"/>
      <w:sz w:val="16"/>
      <w:szCs w:val="16"/>
    </w:rPr>
  </w:style>
  <w:style w:type="paragraph" w:styleId="ListParagraph">
    <w:name w:val="List Paragraph"/>
    <w:basedOn w:val="Normal"/>
    <w:uiPriority w:val="34"/>
    <w:qFormat/>
    <w:rsid w:val="001D79B7"/>
    <w:pPr>
      <w:ind w:left="720"/>
      <w:contextualSpacing/>
    </w:pPr>
  </w:style>
  <w:style w:type="table" w:styleId="TableGrid">
    <w:name w:val="Table Grid"/>
    <w:basedOn w:val="TableNormal"/>
    <w:rsid w:val="002B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6373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vt:lpstr>
    </vt:vector>
  </TitlesOfParts>
  <Company>AGH</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swilliamson</dc:creator>
  <cp:lastModifiedBy>Melissa Prante</cp:lastModifiedBy>
  <cp:revision>2</cp:revision>
  <cp:lastPrinted>2017-04-12T22:41:00Z</cp:lastPrinted>
  <dcterms:created xsi:type="dcterms:W3CDTF">2019-01-28T16:10:00Z</dcterms:created>
  <dcterms:modified xsi:type="dcterms:W3CDTF">2019-01-28T16:10:00Z</dcterms:modified>
</cp:coreProperties>
</file>